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E3FC01" w14:textId="77777777" w:rsidR="00F31133" w:rsidRDefault="00F31133" w:rsidP="00347E84">
      <w:pPr>
        <w:jc w:val="center"/>
        <w:rPr>
          <w:b/>
          <w:sz w:val="28"/>
          <w:szCs w:val="28"/>
          <w:lang w:val="en-GB"/>
        </w:rPr>
      </w:pPr>
    </w:p>
    <w:p w14:paraId="6491407E" w14:textId="1EA707D3" w:rsidR="006F5FD0" w:rsidRPr="00B33EE6" w:rsidRDefault="006F5FD0" w:rsidP="00347E84">
      <w:pPr>
        <w:jc w:val="center"/>
        <w:rPr>
          <w:rStyle w:val="Gl"/>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541EC198" w:rsidR="006F5FD0" w:rsidRPr="00B33EE6" w:rsidRDefault="00BE4174" w:rsidP="00347E84">
      <w:pPr>
        <w:jc w:val="center"/>
        <w:rPr>
          <w:sz w:val="28"/>
          <w:szCs w:val="28"/>
          <w:lang w:val="en-GB"/>
        </w:rPr>
      </w:pPr>
      <w:r w:rsidRPr="00BE4174">
        <w:rPr>
          <w:b/>
          <w:sz w:val="28"/>
          <w:szCs w:val="28"/>
          <w:lang w:val="en-GB"/>
        </w:rPr>
        <w:t>SUPPLY OF ENERGY EFFICIENT EQUIPMENT</w:t>
      </w:r>
      <w:r w:rsidR="006F5FD0" w:rsidRPr="00B33EE6">
        <w:rPr>
          <w:rStyle w:val="Gl"/>
          <w:sz w:val="28"/>
          <w:szCs w:val="28"/>
          <w:lang w:val="en-GB"/>
        </w:rPr>
        <w:br/>
      </w:r>
      <w:r w:rsidR="00500756" w:rsidRPr="00676452">
        <w:rPr>
          <w:rStyle w:val="Gl"/>
          <w:sz w:val="28"/>
          <w:szCs w:val="28"/>
          <w:lang w:val="en-GB"/>
        </w:rPr>
        <w:t>Location –</w:t>
      </w:r>
      <w:r>
        <w:rPr>
          <w:rStyle w:val="Gl"/>
          <w:sz w:val="28"/>
          <w:szCs w:val="28"/>
          <w:lang w:val="en-GB"/>
        </w:rPr>
        <w:t>Enez, Edirne</w:t>
      </w:r>
      <w:r w:rsidR="00500756">
        <w:rPr>
          <w:rStyle w:val="Gl"/>
          <w:sz w:val="28"/>
          <w:szCs w:val="28"/>
          <w:lang w:val="en-GB"/>
        </w:rPr>
        <w:t xml:space="preserve"> Türkiye</w:t>
      </w:r>
    </w:p>
    <w:p w14:paraId="1BE20B1E" w14:textId="77777777" w:rsidR="006F5FD0" w:rsidRPr="00B33EE6" w:rsidRDefault="007727F3" w:rsidP="00371C5B">
      <w:pPr>
        <w:keepNext/>
        <w:widowControl/>
        <w:spacing w:before="240" w:after="120"/>
        <w:ind w:left="284" w:hanging="284"/>
        <w:outlineLvl w:val="0"/>
        <w:rPr>
          <w:sz w:val="22"/>
          <w:szCs w:val="22"/>
          <w:lang w:val="en-GB"/>
        </w:rPr>
      </w:pPr>
      <w:r w:rsidRPr="00B33EE6">
        <w:rPr>
          <w:rStyle w:val="Gl"/>
          <w:sz w:val="22"/>
          <w:szCs w:val="22"/>
          <w:lang w:val="en-GB"/>
        </w:rPr>
        <w:t>1.</w:t>
      </w:r>
      <w:r w:rsidR="00584BF4" w:rsidRPr="00B33EE6">
        <w:rPr>
          <w:rStyle w:val="Gl"/>
          <w:sz w:val="22"/>
          <w:szCs w:val="22"/>
          <w:lang w:val="en-GB"/>
        </w:rPr>
        <w:tab/>
      </w:r>
      <w:r w:rsidR="00632BDC" w:rsidRPr="00B33EE6">
        <w:rPr>
          <w:rStyle w:val="Gl"/>
          <w:sz w:val="22"/>
          <w:szCs w:val="22"/>
          <w:lang w:val="en-GB"/>
        </w:rPr>
        <w:t>R</w:t>
      </w:r>
      <w:r w:rsidR="006F5FD0" w:rsidRPr="00B33EE6">
        <w:rPr>
          <w:rStyle w:val="Gl"/>
          <w:sz w:val="22"/>
          <w:szCs w:val="22"/>
          <w:lang w:val="en-GB"/>
        </w:rPr>
        <w:t>eference</w:t>
      </w:r>
    </w:p>
    <w:p w14:paraId="662DB90F" w14:textId="7BF6FB06" w:rsidR="00BE4174" w:rsidRDefault="00BE4174" w:rsidP="00371C5B">
      <w:pPr>
        <w:keepNext/>
        <w:widowControl/>
        <w:spacing w:before="240" w:after="120"/>
        <w:ind w:left="284" w:hanging="284"/>
        <w:outlineLvl w:val="0"/>
        <w:rPr>
          <w:sz w:val="22"/>
          <w:szCs w:val="22"/>
          <w:lang w:val="en-GB"/>
        </w:rPr>
      </w:pPr>
      <w:r w:rsidRPr="00BE4174">
        <w:rPr>
          <w:sz w:val="22"/>
          <w:szCs w:val="22"/>
          <w:lang w:val="en-GB"/>
        </w:rPr>
        <w:t>BGTR0300129-S</w:t>
      </w:r>
      <w:r>
        <w:rPr>
          <w:sz w:val="22"/>
          <w:szCs w:val="22"/>
          <w:lang w:val="en-GB"/>
        </w:rPr>
        <w:t>PLY</w:t>
      </w:r>
      <w:r w:rsidRPr="00BE4174">
        <w:rPr>
          <w:sz w:val="22"/>
          <w:szCs w:val="22"/>
          <w:lang w:val="en-GB"/>
        </w:rPr>
        <w:t>-0</w:t>
      </w:r>
      <w:r>
        <w:rPr>
          <w:sz w:val="22"/>
          <w:szCs w:val="22"/>
          <w:lang w:val="en-GB"/>
        </w:rPr>
        <w:t>1</w:t>
      </w:r>
    </w:p>
    <w:p w14:paraId="7A3797D8" w14:textId="031560C3" w:rsidR="006F5FD0" w:rsidRPr="00371C5B" w:rsidRDefault="007727F3" w:rsidP="00371C5B">
      <w:pPr>
        <w:keepNext/>
        <w:widowControl/>
        <w:spacing w:before="240" w:after="120"/>
        <w:ind w:left="284" w:hanging="284"/>
        <w:outlineLvl w:val="0"/>
        <w:rPr>
          <w:rStyle w:val="Gl"/>
        </w:rPr>
      </w:pPr>
      <w:r w:rsidRPr="00B33EE6">
        <w:rPr>
          <w:rStyle w:val="Gl"/>
          <w:sz w:val="22"/>
          <w:szCs w:val="22"/>
          <w:lang w:val="en-GB"/>
        </w:rPr>
        <w:t>2.</w:t>
      </w:r>
      <w:r w:rsidR="00584BF4" w:rsidRPr="00B33EE6">
        <w:rPr>
          <w:rStyle w:val="Gl"/>
          <w:sz w:val="22"/>
          <w:szCs w:val="22"/>
          <w:lang w:val="en-GB"/>
        </w:rPr>
        <w:tab/>
      </w:r>
      <w:r w:rsidR="006F5FD0" w:rsidRPr="00B33EE6">
        <w:rPr>
          <w:rStyle w:val="Gl"/>
          <w:sz w:val="22"/>
          <w:szCs w:val="22"/>
          <w:lang w:val="en-GB"/>
        </w:rPr>
        <w:t>Procedure</w:t>
      </w:r>
    </w:p>
    <w:p w14:paraId="41C9370C" w14:textId="463FAA96" w:rsidR="006F5FD0" w:rsidRPr="00B33EE6" w:rsidRDefault="00AD1E4D" w:rsidP="00371C5B">
      <w:pPr>
        <w:pStyle w:val="Blockquote"/>
        <w:spacing w:before="40" w:after="60"/>
        <w:ind w:left="284" w:right="0"/>
        <w:rPr>
          <w:sz w:val="22"/>
          <w:szCs w:val="22"/>
          <w:lang w:val="en-GB"/>
        </w:rPr>
      </w:pPr>
      <w:r w:rsidRPr="00500756">
        <w:rPr>
          <w:sz w:val="22"/>
          <w:szCs w:val="22"/>
          <w:lang w:val="en-GB"/>
        </w:rPr>
        <w:t>Simplified</w:t>
      </w:r>
      <w:r w:rsidR="00584BF4" w:rsidRPr="00B33EE6">
        <w:rPr>
          <w:sz w:val="22"/>
          <w:szCs w:val="22"/>
          <w:lang w:val="en-GB"/>
        </w:rPr>
        <w:t xml:space="preserve"> </w:t>
      </w:r>
      <w:r w:rsidR="00BE4174">
        <w:rPr>
          <w:sz w:val="22"/>
          <w:szCs w:val="22"/>
          <w:lang w:val="en-GB"/>
        </w:rPr>
        <w:t>procedure B2</w:t>
      </w:r>
    </w:p>
    <w:p w14:paraId="5F51B1AE" w14:textId="77777777" w:rsidR="00971962" w:rsidRPr="00371C5B" w:rsidRDefault="006F5FD0" w:rsidP="00371C5B">
      <w:pPr>
        <w:keepNext/>
        <w:widowControl/>
        <w:spacing w:before="240" w:after="120"/>
        <w:ind w:left="284" w:hanging="284"/>
        <w:outlineLvl w:val="0"/>
        <w:rPr>
          <w:rStyle w:val="Gl"/>
        </w:rPr>
      </w:pPr>
      <w:r w:rsidRPr="00B33EE6">
        <w:rPr>
          <w:rStyle w:val="Gl"/>
          <w:sz w:val="22"/>
          <w:szCs w:val="22"/>
          <w:lang w:val="en-GB"/>
        </w:rPr>
        <w:t xml:space="preserve">3. </w:t>
      </w:r>
      <w:r w:rsidR="00584BF4" w:rsidRPr="00B33EE6">
        <w:rPr>
          <w:rStyle w:val="Gl"/>
          <w:sz w:val="22"/>
          <w:szCs w:val="22"/>
          <w:lang w:val="en-GB"/>
        </w:rPr>
        <w:tab/>
      </w:r>
      <w:r w:rsidRPr="00B33EE6">
        <w:rPr>
          <w:rStyle w:val="Gl"/>
          <w:sz w:val="22"/>
          <w:szCs w:val="22"/>
          <w:lang w:val="en-GB"/>
        </w:rPr>
        <w:t>Programme</w:t>
      </w:r>
      <w:r w:rsidR="00971962" w:rsidRPr="00B33EE6">
        <w:rPr>
          <w:rStyle w:val="Gl"/>
          <w:sz w:val="22"/>
          <w:szCs w:val="22"/>
          <w:lang w:val="en-GB"/>
        </w:rPr>
        <w:t xml:space="preserve"> title</w:t>
      </w:r>
    </w:p>
    <w:p w14:paraId="24D6B4DB" w14:textId="77777777" w:rsidR="00B51541" w:rsidRPr="008B0583" w:rsidRDefault="00B51541" w:rsidP="00B51541">
      <w:pPr>
        <w:pStyle w:val="PRAGHeading2"/>
        <w:numPr>
          <w:ilvl w:val="0"/>
          <w:numId w:val="0"/>
        </w:numPr>
        <w:ind w:left="357" w:right="357"/>
        <w:rPr>
          <w:sz w:val="22"/>
          <w:szCs w:val="22"/>
          <w:lang w:val="en-GB"/>
        </w:rPr>
      </w:pPr>
      <w:r>
        <w:rPr>
          <w:sz w:val="22"/>
          <w:szCs w:val="22"/>
        </w:rPr>
        <w:t>(INTERREG VI-A)</w:t>
      </w:r>
      <w:r w:rsidRPr="008B0583">
        <w:rPr>
          <w:sz w:val="22"/>
          <w:szCs w:val="22"/>
        </w:rPr>
        <w:t xml:space="preserve"> IPA Bulgaria-Turkey Cross-Border Cooperation </w:t>
      </w:r>
      <w:proofErr w:type="spellStart"/>
      <w:r w:rsidRPr="008B0583">
        <w:rPr>
          <w:sz w:val="22"/>
          <w:szCs w:val="22"/>
        </w:rPr>
        <w:t>Programme</w:t>
      </w:r>
      <w:proofErr w:type="spellEnd"/>
    </w:p>
    <w:p w14:paraId="797EC4DC" w14:textId="77777777" w:rsidR="006F5FD0" w:rsidRPr="00371C5B" w:rsidRDefault="006F5FD0" w:rsidP="00371C5B">
      <w:pPr>
        <w:keepNext/>
        <w:widowControl/>
        <w:spacing w:before="240" w:after="120"/>
        <w:ind w:left="284" w:hanging="284"/>
        <w:outlineLvl w:val="0"/>
        <w:rPr>
          <w:rStyle w:val="Gl"/>
        </w:rPr>
      </w:pPr>
      <w:r w:rsidRPr="00B33EE6">
        <w:rPr>
          <w:rStyle w:val="Gl"/>
          <w:sz w:val="22"/>
          <w:szCs w:val="22"/>
          <w:lang w:val="en-GB"/>
        </w:rPr>
        <w:t xml:space="preserve">4. </w:t>
      </w:r>
      <w:r w:rsidR="00584BF4" w:rsidRPr="00B33EE6">
        <w:rPr>
          <w:rStyle w:val="Gl"/>
          <w:sz w:val="22"/>
          <w:szCs w:val="22"/>
          <w:lang w:val="en-GB"/>
        </w:rPr>
        <w:tab/>
      </w:r>
      <w:r w:rsidRPr="00B33EE6">
        <w:rPr>
          <w:rStyle w:val="Gl"/>
          <w:sz w:val="22"/>
          <w:szCs w:val="22"/>
          <w:lang w:val="en-GB"/>
        </w:rPr>
        <w:t>Financing</w:t>
      </w:r>
    </w:p>
    <w:p w14:paraId="715011ED" w14:textId="17504DBC" w:rsidR="00B51541" w:rsidRPr="008B0583" w:rsidRDefault="00B51541" w:rsidP="00DD4A90">
      <w:pPr>
        <w:ind w:left="426" w:right="360"/>
        <w:jc w:val="both"/>
        <w:rPr>
          <w:sz w:val="22"/>
          <w:szCs w:val="22"/>
          <w:lang w:val="en-GB"/>
        </w:rPr>
      </w:pPr>
      <w:r w:rsidRPr="008B0583">
        <w:rPr>
          <w:sz w:val="22"/>
          <w:szCs w:val="22"/>
          <w:lang w:val="fr-FR"/>
        </w:rPr>
        <w:t xml:space="preserve">BC5 </w:t>
      </w:r>
      <w:proofErr w:type="spellStart"/>
      <w:r w:rsidRPr="008B0583">
        <w:rPr>
          <w:sz w:val="22"/>
          <w:szCs w:val="22"/>
          <w:lang w:val="fr-FR"/>
        </w:rPr>
        <w:t>under</w:t>
      </w:r>
      <w:proofErr w:type="spellEnd"/>
      <w:r w:rsidRPr="008B0583">
        <w:rPr>
          <w:sz w:val="22"/>
          <w:szCs w:val="22"/>
          <w:lang w:val="fr-FR"/>
        </w:rPr>
        <w:t xml:space="preserve"> “</w:t>
      </w:r>
      <w:r w:rsidR="00DD4A90" w:rsidRPr="00DD4A90">
        <w:rPr>
          <w:sz w:val="22"/>
          <w:szCs w:val="22"/>
          <w:lang w:val="fr-FR"/>
        </w:rPr>
        <w:t xml:space="preserve">Cross-Border </w:t>
      </w:r>
      <w:proofErr w:type="spellStart"/>
      <w:r w:rsidR="00DD4A90" w:rsidRPr="00DD4A90">
        <w:rPr>
          <w:sz w:val="22"/>
          <w:szCs w:val="22"/>
          <w:lang w:val="fr-FR"/>
        </w:rPr>
        <w:t>Cooperation</w:t>
      </w:r>
      <w:proofErr w:type="spellEnd"/>
      <w:r w:rsidR="00DD4A90" w:rsidRPr="00DD4A90">
        <w:rPr>
          <w:sz w:val="22"/>
          <w:szCs w:val="22"/>
          <w:lang w:val="fr-FR"/>
        </w:rPr>
        <w:t xml:space="preserve"> to Energy </w:t>
      </w:r>
      <w:proofErr w:type="spellStart"/>
      <w:r w:rsidR="00DD4A90" w:rsidRPr="00DD4A90">
        <w:rPr>
          <w:sz w:val="22"/>
          <w:szCs w:val="22"/>
          <w:lang w:val="fr-FR"/>
        </w:rPr>
        <w:t>Efficiency</w:t>
      </w:r>
      <w:proofErr w:type="spellEnd"/>
      <w:r w:rsidR="00DD4A90" w:rsidRPr="00DD4A90">
        <w:rPr>
          <w:sz w:val="22"/>
          <w:szCs w:val="22"/>
          <w:lang w:val="fr-FR"/>
        </w:rPr>
        <w:t xml:space="preserve"> in </w:t>
      </w:r>
      <w:proofErr w:type="spellStart"/>
      <w:r w:rsidR="00DD4A90" w:rsidRPr="00DD4A90">
        <w:rPr>
          <w:sz w:val="22"/>
          <w:szCs w:val="22"/>
          <w:lang w:val="fr-FR"/>
        </w:rPr>
        <w:t>Tourism</w:t>
      </w:r>
      <w:proofErr w:type="spellEnd"/>
      <w:r w:rsidR="00DD4A90" w:rsidRPr="00DD4A90">
        <w:rPr>
          <w:sz w:val="22"/>
          <w:szCs w:val="22"/>
          <w:lang w:val="fr-FR"/>
        </w:rPr>
        <w:t xml:space="preserve"> </w:t>
      </w:r>
      <w:proofErr w:type="spellStart"/>
      <w:r w:rsidR="00DD4A90" w:rsidRPr="00DD4A90">
        <w:rPr>
          <w:sz w:val="22"/>
          <w:szCs w:val="22"/>
          <w:lang w:val="fr-FR"/>
        </w:rPr>
        <w:t>Sector</w:t>
      </w:r>
      <w:proofErr w:type="spellEnd"/>
      <w:r w:rsidR="00DD4A90" w:rsidRPr="00DD4A90">
        <w:rPr>
          <w:sz w:val="22"/>
          <w:szCs w:val="22"/>
          <w:lang w:val="fr-FR"/>
        </w:rPr>
        <w:t xml:space="preserve"> and </w:t>
      </w:r>
      <w:proofErr w:type="spellStart"/>
      <w:r w:rsidR="00DD4A90" w:rsidRPr="00DD4A90">
        <w:rPr>
          <w:sz w:val="22"/>
          <w:szCs w:val="22"/>
          <w:lang w:val="fr-FR"/>
        </w:rPr>
        <w:t>Environmentally-Friendly</w:t>
      </w:r>
      <w:proofErr w:type="spellEnd"/>
      <w:r w:rsidR="00DD4A90" w:rsidRPr="00DD4A90">
        <w:rPr>
          <w:sz w:val="22"/>
          <w:szCs w:val="22"/>
          <w:lang w:val="fr-FR"/>
        </w:rPr>
        <w:t xml:space="preserve"> </w:t>
      </w:r>
      <w:proofErr w:type="spellStart"/>
      <w:r w:rsidR="00DD4A90" w:rsidRPr="00DD4A90">
        <w:rPr>
          <w:sz w:val="22"/>
          <w:szCs w:val="22"/>
          <w:lang w:val="fr-FR"/>
        </w:rPr>
        <w:t>Bulgaria</w:t>
      </w:r>
      <w:proofErr w:type="spellEnd"/>
      <w:r w:rsidR="00DD4A90" w:rsidRPr="00DD4A90">
        <w:rPr>
          <w:sz w:val="22"/>
          <w:szCs w:val="22"/>
          <w:lang w:val="fr-FR"/>
        </w:rPr>
        <w:t xml:space="preserve">-Türkiye </w:t>
      </w:r>
      <w:proofErr w:type="spellStart"/>
      <w:r w:rsidR="00DD4A90" w:rsidRPr="00DD4A90">
        <w:rPr>
          <w:sz w:val="22"/>
          <w:szCs w:val="22"/>
          <w:lang w:val="fr-FR"/>
        </w:rPr>
        <w:t>Region</w:t>
      </w:r>
      <w:proofErr w:type="spellEnd"/>
      <w:r w:rsidR="00DD4A90" w:rsidRPr="00DD4A90">
        <w:rPr>
          <w:sz w:val="22"/>
          <w:szCs w:val="22"/>
          <w:lang w:val="fr-FR"/>
        </w:rPr>
        <w:t xml:space="preserve"> </w:t>
      </w:r>
      <w:r w:rsidRPr="008B0583">
        <w:rPr>
          <w:sz w:val="22"/>
          <w:szCs w:val="22"/>
          <w:lang w:val="fr-FR"/>
        </w:rPr>
        <w:t xml:space="preserve">” </w:t>
      </w:r>
      <w:proofErr w:type="spellStart"/>
      <w:r w:rsidRPr="008B0583">
        <w:rPr>
          <w:sz w:val="22"/>
          <w:szCs w:val="22"/>
          <w:lang w:val="fr-FR"/>
        </w:rPr>
        <w:t>project</w:t>
      </w:r>
      <w:proofErr w:type="spellEnd"/>
      <w:r w:rsidRPr="008B0583">
        <w:rPr>
          <w:sz w:val="22"/>
          <w:szCs w:val="22"/>
          <w:lang w:val="fr-FR"/>
        </w:rPr>
        <w:t xml:space="preserve"> </w:t>
      </w:r>
      <w:proofErr w:type="spellStart"/>
      <w:r w:rsidRPr="008B0583">
        <w:rPr>
          <w:sz w:val="22"/>
          <w:szCs w:val="22"/>
          <w:lang w:val="fr-FR"/>
        </w:rPr>
        <w:t>under</w:t>
      </w:r>
      <w:proofErr w:type="spellEnd"/>
      <w:r w:rsidRPr="008B0583">
        <w:rPr>
          <w:sz w:val="22"/>
          <w:szCs w:val="22"/>
          <w:lang w:val="fr-FR"/>
        </w:rPr>
        <w:t xml:space="preserve"> INTERREG VI A/ IPA </w:t>
      </w:r>
      <w:proofErr w:type="spellStart"/>
      <w:r w:rsidRPr="008B0583">
        <w:rPr>
          <w:sz w:val="22"/>
          <w:szCs w:val="22"/>
          <w:lang w:val="fr-FR"/>
        </w:rPr>
        <w:t>Bulgaria-Turkey</w:t>
      </w:r>
      <w:proofErr w:type="spellEnd"/>
      <w:r w:rsidRPr="008B0583">
        <w:rPr>
          <w:sz w:val="22"/>
          <w:szCs w:val="22"/>
          <w:lang w:val="fr-FR"/>
        </w:rPr>
        <w:t xml:space="preserve"> Cross-Border </w:t>
      </w:r>
      <w:proofErr w:type="spellStart"/>
      <w:r w:rsidRPr="008B0583">
        <w:rPr>
          <w:sz w:val="22"/>
          <w:szCs w:val="22"/>
          <w:lang w:val="fr-FR"/>
        </w:rPr>
        <w:t>Cooperation</w:t>
      </w:r>
      <w:proofErr w:type="spellEnd"/>
      <w:r w:rsidRPr="008B0583">
        <w:rPr>
          <w:sz w:val="22"/>
          <w:szCs w:val="22"/>
          <w:lang w:val="fr-FR"/>
        </w:rPr>
        <w:t xml:space="preserve"> Programme </w:t>
      </w:r>
      <w:proofErr w:type="spellStart"/>
      <w:r w:rsidRPr="008B0583">
        <w:rPr>
          <w:sz w:val="22"/>
          <w:szCs w:val="22"/>
          <w:lang w:val="fr-FR"/>
        </w:rPr>
        <w:t>with</w:t>
      </w:r>
      <w:proofErr w:type="spellEnd"/>
      <w:r w:rsidRPr="008B0583">
        <w:rPr>
          <w:sz w:val="22"/>
          <w:szCs w:val="22"/>
          <w:lang w:val="fr-FR"/>
        </w:rPr>
        <w:t xml:space="preserve"> </w:t>
      </w:r>
      <w:proofErr w:type="spellStart"/>
      <w:r w:rsidRPr="008B0583">
        <w:rPr>
          <w:sz w:val="22"/>
          <w:szCs w:val="22"/>
          <w:lang w:val="fr-FR"/>
        </w:rPr>
        <w:t>reference</w:t>
      </w:r>
      <w:proofErr w:type="spellEnd"/>
      <w:r w:rsidRPr="008B0583">
        <w:rPr>
          <w:sz w:val="22"/>
          <w:szCs w:val="22"/>
          <w:lang w:val="fr-FR"/>
        </w:rPr>
        <w:t xml:space="preserve"> </w:t>
      </w:r>
      <w:proofErr w:type="spellStart"/>
      <w:r w:rsidRPr="008B0583">
        <w:rPr>
          <w:sz w:val="22"/>
          <w:szCs w:val="22"/>
          <w:lang w:val="fr-FR"/>
        </w:rPr>
        <w:t>number</w:t>
      </w:r>
      <w:proofErr w:type="spellEnd"/>
      <w:r w:rsidRPr="008B0583">
        <w:rPr>
          <w:sz w:val="22"/>
          <w:szCs w:val="22"/>
          <w:lang w:val="fr-FR"/>
        </w:rPr>
        <w:t xml:space="preserve"> BGTR</w:t>
      </w:r>
      <w:r w:rsidR="00BE4174" w:rsidRPr="00BE4174">
        <w:rPr>
          <w:sz w:val="22"/>
          <w:szCs w:val="22"/>
          <w:lang w:val="en-GB"/>
        </w:rPr>
        <w:t>0300129</w:t>
      </w:r>
    </w:p>
    <w:p w14:paraId="03ED8384" w14:textId="77777777" w:rsidR="006F5FD0" w:rsidRPr="00371C5B" w:rsidRDefault="006F5FD0" w:rsidP="00371C5B">
      <w:pPr>
        <w:keepNext/>
        <w:widowControl/>
        <w:spacing w:before="240" w:after="120"/>
        <w:ind w:left="284" w:hanging="284"/>
        <w:outlineLvl w:val="0"/>
        <w:rPr>
          <w:rStyle w:val="Gl"/>
        </w:rPr>
      </w:pPr>
      <w:r w:rsidRPr="00B33EE6">
        <w:rPr>
          <w:rStyle w:val="Gl"/>
          <w:sz w:val="22"/>
          <w:szCs w:val="22"/>
          <w:lang w:val="en-GB"/>
        </w:rPr>
        <w:t xml:space="preserve">5. </w:t>
      </w:r>
      <w:r w:rsidR="00584BF4" w:rsidRPr="00B33EE6">
        <w:rPr>
          <w:rStyle w:val="Gl"/>
          <w:sz w:val="22"/>
          <w:szCs w:val="22"/>
          <w:lang w:val="en-GB"/>
        </w:rPr>
        <w:tab/>
      </w:r>
      <w:r w:rsidRPr="00B33EE6">
        <w:rPr>
          <w:rStyle w:val="Gl"/>
          <w:sz w:val="22"/>
          <w:szCs w:val="22"/>
          <w:lang w:val="en-GB"/>
        </w:rPr>
        <w:t xml:space="preserve">Contracting </w:t>
      </w:r>
      <w:r w:rsidR="00FE4E4B">
        <w:rPr>
          <w:rStyle w:val="Gl"/>
          <w:sz w:val="22"/>
          <w:szCs w:val="22"/>
          <w:lang w:val="en-GB"/>
        </w:rPr>
        <w:t>a</w:t>
      </w:r>
      <w:r w:rsidRPr="00B33EE6">
        <w:rPr>
          <w:rStyle w:val="Gl"/>
          <w:sz w:val="22"/>
          <w:szCs w:val="22"/>
          <w:lang w:val="en-GB"/>
        </w:rPr>
        <w:t>uthority</w:t>
      </w:r>
    </w:p>
    <w:p w14:paraId="2259BEAD" w14:textId="103CC8B3" w:rsidR="006F5FD0" w:rsidRPr="0051622A" w:rsidRDefault="00BE4174" w:rsidP="00BE4174">
      <w:pPr>
        <w:pStyle w:val="Blockquote"/>
        <w:spacing w:before="40" w:after="60"/>
        <w:ind w:left="284"/>
        <w:rPr>
          <w:rStyle w:val="Vurgu"/>
          <w:i w:val="0"/>
          <w:sz w:val="22"/>
          <w:szCs w:val="22"/>
          <w:lang w:val="en-GB"/>
        </w:rPr>
      </w:pPr>
      <w:bookmarkStart w:id="0" w:name="_Hlk169255215"/>
      <w:r w:rsidRPr="00BE4174">
        <w:rPr>
          <w:rFonts w:cs="Calibri"/>
          <w:iCs/>
          <w:color w:val="000000"/>
          <w:sz w:val="22"/>
          <w:szCs w:val="22"/>
        </w:rPr>
        <w:t>Inci Construction Tourism Food Textile Marketing Import Export Trade and Industry Limited Company</w:t>
      </w:r>
      <w:r w:rsidR="0051622A" w:rsidRPr="0051622A">
        <w:rPr>
          <w:rFonts w:cs="Calibri"/>
          <w:iCs/>
          <w:sz w:val="22"/>
          <w:szCs w:val="22"/>
          <w:lang w:val="en-GB"/>
        </w:rPr>
        <w:t xml:space="preserve">, </w:t>
      </w:r>
      <w:r w:rsidRPr="00BE4174">
        <w:rPr>
          <w:rFonts w:cs="Calibri"/>
          <w:iCs/>
          <w:sz w:val="22"/>
          <w:szCs w:val="22"/>
          <w:lang w:val="tr-TR" w:eastAsia="tr-TR"/>
        </w:rPr>
        <w:t>Kocasinan Mah. Şevki Arman Cad. No:20/21 Merkez / Edirne / TÜRKİYE</w:t>
      </w:r>
    </w:p>
    <w:bookmarkEnd w:id="0"/>
    <w:p w14:paraId="67F4A905" w14:textId="77777777" w:rsidR="006F5FD0" w:rsidRPr="00B33EE6" w:rsidRDefault="00000000" w:rsidP="00347E84">
      <w:pPr>
        <w:rPr>
          <w:sz w:val="22"/>
          <w:szCs w:val="22"/>
          <w:lang w:val="en-GB"/>
        </w:rPr>
      </w:pPr>
      <w:r>
        <w:rPr>
          <w:snapToGrid/>
          <w:sz w:val="22"/>
          <w:szCs w:val="22"/>
          <w:lang w:val="en-GB"/>
        </w:rPr>
        <w:pict w14:anchorId="589D319E">
          <v:line id="_x0000_s2054" alt="" style="position:absolute;z-index:1;mso-wrap-edited:f;mso-width-percent:0;mso-height-percent:0;mso-width-percent:0;mso-height-percent:0" from="0,12pt" to="468pt,12.05pt" o:allowincell="f" strokecolor="#d4d4d4" strokeweight="1.75pt">
            <v:shadow on="t" origin=",32385f" offset="0,-1pt"/>
          </v:line>
        </w:pict>
      </w:r>
    </w:p>
    <w:p w14:paraId="30050B2B" w14:textId="77777777" w:rsidR="006F5FD0" w:rsidRPr="00B33EE6" w:rsidRDefault="006F5FD0" w:rsidP="00347E84">
      <w:pPr>
        <w:jc w:val="center"/>
        <w:rPr>
          <w:sz w:val="28"/>
          <w:szCs w:val="28"/>
          <w:lang w:val="en-GB"/>
        </w:rPr>
      </w:pPr>
      <w:r w:rsidRPr="00B33EE6">
        <w:rPr>
          <w:rStyle w:val="Gl"/>
          <w:sz w:val="28"/>
          <w:szCs w:val="28"/>
          <w:lang w:val="en-GB"/>
        </w:rPr>
        <w:t>CONTRACT SPECIFICATION</w:t>
      </w:r>
    </w:p>
    <w:p w14:paraId="4C8A4F1B" w14:textId="77777777" w:rsidR="006F5FD0" w:rsidRPr="00371C5B" w:rsidRDefault="006F5FD0" w:rsidP="00371C5B">
      <w:pPr>
        <w:keepNext/>
        <w:widowControl/>
        <w:spacing w:before="240" w:after="120"/>
        <w:ind w:left="284" w:hanging="284"/>
        <w:outlineLvl w:val="0"/>
        <w:rPr>
          <w:rStyle w:val="Gl"/>
        </w:rPr>
      </w:pPr>
      <w:r w:rsidRPr="00B33EE6">
        <w:rPr>
          <w:rStyle w:val="Gl"/>
          <w:sz w:val="22"/>
          <w:szCs w:val="22"/>
          <w:lang w:val="en-GB"/>
        </w:rPr>
        <w:t xml:space="preserve">6. </w:t>
      </w:r>
      <w:r w:rsidR="00584BF4" w:rsidRPr="00B33EE6">
        <w:rPr>
          <w:rStyle w:val="Gl"/>
          <w:sz w:val="22"/>
          <w:szCs w:val="22"/>
          <w:lang w:val="en-GB"/>
        </w:rPr>
        <w:tab/>
      </w:r>
      <w:r w:rsidRPr="00B33EE6">
        <w:rPr>
          <w:rStyle w:val="Gl"/>
          <w:sz w:val="22"/>
          <w:szCs w:val="22"/>
          <w:lang w:val="en-GB"/>
        </w:rPr>
        <w:t>Nature of contract</w:t>
      </w:r>
    </w:p>
    <w:p w14:paraId="71099A85" w14:textId="7E53DF33" w:rsidR="006F5FD0" w:rsidRPr="00B33EE6" w:rsidRDefault="00172785" w:rsidP="00371C5B">
      <w:pPr>
        <w:pStyle w:val="Blockquote"/>
        <w:spacing w:before="40" w:after="60"/>
        <w:ind w:left="284" w:right="0"/>
        <w:rPr>
          <w:i/>
          <w:sz w:val="22"/>
          <w:szCs w:val="22"/>
          <w:lang w:val="en-GB"/>
        </w:rPr>
      </w:pPr>
      <w:r w:rsidRPr="0051622A">
        <w:rPr>
          <w:rStyle w:val="Vurgu"/>
          <w:i w:val="0"/>
          <w:sz w:val="22"/>
          <w:szCs w:val="22"/>
          <w:lang w:val="en-GB"/>
        </w:rPr>
        <w:t>U</w:t>
      </w:r>
      <w:r w:rsidR="008A1184" w:rsidRPr="0051622A">
        <w:rPr>
          <w:rStyle w:val="Vurgu"/>
          <w:i w:val="0"/>
          <w:sz w:val="22"/>
          <w:szCs w:val="22"/>
          <w:lang w:val="en-GB"/>
        </w:rPr>
        <w:t>nit-price</w:t>
      </w:r>
    </w:p>
    <w:p w14:paraId="1879C6BF" w14:textId="77777777" w:rsidR="006F5FD0" w:rsidRDefault="006F5FD0" w:rsidP="00371C5B">
      <w:pPr>
        <w:keepNext/>
        <w:widowControl/>
        <w:spacing w:before="240" w:after="120"/>
        <w:ind w:left="284" w:hanging="284"/>
        <w:outlineLvl w:val="0"/>
        <w:rPr>
          <w:rStyle w:val="Gl"/>
          <w:sz w:val="22"/>
          <w:szCs w:val="22"/>
          <w:lang w:val="en-GB"/>
        </w:rPr>
      </w:pPr>
      <w:r w:rsidRPr="00B33EE6">
        <w:rPr>
          <w:rStyle w:val="Gl"/>
          <w:sz w:val="22"/>
          <w:szCs w:val="22"/>
          <w:lang w:val="en-GB"/>
        </w:rPr>
        <w:t xml:space="preserve">7. </w:t>
      </w:r>
      <w:r w:rsidR="00584BF4" w:rsidRPr="00B33EE6">
        <w:rPr>
          <w:rStyle w:val="Gl"/>
          <w:sz w:val="22"/>
          <w:szCs w:val="22"/>
          <w:lang w:val="en-GB"/>
        </w:rPr>
        <w:tab/>
      </w:r>
      <w:r w:rsidRPr="00B33EE6">
        <w:rPr>
          <w:rStyle w:val="Gl"/>
          <w:sz w:val="22"/>
          <w:szCs w:val="22"/>
          <w:lang w:val="en-GB"/>
        </w:rPr>
        <w:t>Contract description</w:t>
      </w:r>
    </w:p>
    <w:p w14:paraId="6F4C0F83" w14:textId="14B9FF25" w:rsidR="0092698A" w:rsidRDefault="00CF68E8" w:rsidP="00CF68E8">
      <w:pPr>
        <w:spacing w:before="0" w:after="0"/>
        <w:ind w:left="284"/>
        <w:jc w:val="both"/>
        <w:rPr>
          <w:b/>
          <w:bCs/>
          <w:sz w:val="22"/>
        </w:rPr>
      </w:pPr>
      <w:r w:rsidRPr="00BE4174">
        <w:rPr>
          <w:rFonts w:cs="Calibri"/>
          <w:iCs/>
          <w:color w:val="000000"/>
          <w:sz w:val="22"/>
          <w:szCs w:val="22"/>
        </w:rPr>
        <w:t>Inci Construction Tourism Food Textile Marketing Import Export Trade and Industry Limited Company</w:t>
      </w:r>
      <w:r w:rsidRPr="0051622A">
        <w:rPr>
          <w:rStyle w:val="Gl"/>
          <w:b w:val="0"/>
          <w:bCs/>
          <w:sz w:val="22"/>
          <w:szCs w:val="22"/>
        </w:rPr>
        <w:t xml:space="preserve"> </w:t>
      </w:r>
      <w:r w:rsidR="0051622A" w:rsidRPr="0051622A">
        <w:rPr>
          <w:rStyle w:val="Gl"/>
          <w:b w:val="0"/>
          <w:bCs/>
          <w:sz w:val="22"/>
          <w:szCs w:val="22"/>
        </w:rPr>
        <w:t xml:space="preserve">intends to award the contract for supply </w:t>
      </w:r>
      <w:r w:rsidR="00DD4A90">
        <w:rPr>
          <w:rStyle w:val="Gl"/>
          <w:b w:val="0"/>
          <w:bCs/>
          <w:sz w:val="22"/>
          <w:szCs w:val="22"/>
        </w:rPr>
        <w:t xml:space="preserve">of </w:t>
      </w:r>
      <w:r>
        <w:rPr>
          <w:rStyle w:val="Gl"/>
          <w:b w:val="0"/>
          <w:bCs/>
          <w:sz w:val="22"/>
          <w:szCs w:val="22"/>
        </w:rPr>
        <w:t>Energy Efficient Equipment</w:t>
      </w:r>
      <w:r w:rsidR="0051622A" w:rsidRPr="0051622A">
        <w:rPr>
          <w:rStyle w:val="Gl"/>
          <w:b w:val="0"/>
          <w:bCs/>
          <w:sz w:val="22"/>
          <w:szCs w:val="22"/>
        </w:rPr>
        <w:t xml:space="preserve">, </w:t>
      </w:r>
      <w:r>
        <w:rPr>
          <w:rStyle w:val="Gl"/>
          <w:b w:val="0"/>
          <w:bCs/>
          <w:sz w:val="22"/>
          <w:szCs w:val="22"/>
        </w:rPr>
        <w:t>a</w:t>
      </w:r>
      <w:r w:rsidR="0051622A" w:rsidRPr="0051622A">
        <w:rPr>
          <w:rStyle w:val="Gl"/>
          <w:b w:val="0"/>
          <w:bCs/>
          <w:sz w:val="22"/>
          <w:szCs w:val="22"/>
        </w:rPr>
        <w:t>ccording this aim the contracting authority is launching this tender to purchase the necessary equipment mentioned below</w:t>
      </w:r>
      <w:r>
        <w:rPr>
          <w:rStyle w:val="Gl"/>
          <w:b w:val="0"/>
          <w:bCs/>
          <w:sz w:val="22"/>
          <w:szCs w:val="22"/>
        </w:rPr>
        <w:t>:</w:t>
      </w:r>
      <w:r w:rsidR="0092698A" w:rsidRPr="003B3416">
        <w:rPr>
          <w:b/>
          <w:bCs/>
          <w:sz w:val="22"/>
        </w:rPr>
        <w:t xml:space="preserve"> </w:t>
      </w:r>
    </w:p>
    <w:p w14:paraId="55215F1B" w14:textId="77777777" w:rsidR="00F31133" w:rsidRDefault="00F31133" w:rsidP="00CF68E8">
      <w:pPr>
        <w:spacing w:before="0" w:after="0"/>
        <w:ind w:left="284"/>
        <w:jc w:val="both"/>
        <w:rPr>
          <w:b/>
          <w:bCs/>
          <w:sz w:val="22"/>
        </w:rPr>
      </w:pPr>
    </w:p>
    <w:p w14:paraId="6A387B77" w14:textId="77777777" w:rsidR="00F31133" w:rsidRDefault="00F31133" w:rsidP="00CF68E8">
      <w:pPr>
        <w:spacing w:before="0" w:after="0"/>
        <w:ind w:left="284"/>
        <w:jc w:val="both"/>
        <w:rPr>
          <w:b/>
          <w:bCs/>
          <w:sz w:val="22"/>
        </w:rPr>
      </w:pPr>
    </w:p>
    <w:p w14:paraId="67360692" w14:textId="77777777" w:rsidR="00F31133" w:rsidRPr="003B3416" w:rsidRDefault="00F31133" w:rsidP="00CF68E8">
      <w:pPr>
        <w:spacing w:before="0" w:after="0"/>
        <w:ind w:left="284"/>
        <w:jc w:val="both"/>
        <w:rPr>
          <w:b/>
          <w:bCs/>
          <w:sz w:val="22"/>
        </w:rPr>
      </w:pPr>
    </w:p>
    <w:p w14:paraId="31785363" w14:textId="77777777" w:rsidR="00DD4A90" w:rsidRPr="00DD4A90" w:rsidRDefault="00DD4A90" w:rsidP="00DD4A90">
      <w:pPr>
        <w:keepNext/>
        <w:widowControl/>
        <w:spacing w:before="240" w:after="120"/>
        <w:ind w:left="284"/>
        <w:jc w:val="both"/>
        <w:outlineLvl w:val="0"/>
        <w:rPr>
          <w:rStyle w:val="Gl"/>
          <w:sz w:val="22"/>
          <w:szCs w:val="22"/>
        </w:rPr>
      </w:pPr>
      <w:r w:rsidRPr="00DD4A90">
        <w:rPr>
          <w:rStyle w:val="Gl"/>
          <w:sz w:val="22"/>
          <w:szCs w:val="22"/>
        </w:rPr>
        <w:lastRenderedPageBreak/>
        <w:t>LOT 1: Energy efficiency measures in rooms</w:t>
      </w:r>
    </w:p>
    <w:tbl>
      <w:tblPr>
        <w:tblW w:w="8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60"/>
        <w:gridCol w:w="6188"/>
        <w:gridCol w:w="1701"/>
      </w:tblGrid>
      <w:tr w:rsidR="00F31133" w:rsidRPr="00437C56" w14:paraId="38E24D50" w14:textId="77777777" w:rsidTr="00F31133">
        <w:trPr>
          <w:jc w:val="center"/>
        </w:trPr>
        <w:tc>
          <w:tcPr>
            <w:tcW w:w="1060" w:type="dxa"/>
            <w:shd w:val="clear" w:color="auto" w:fill="F2F2F2"/>
            <w:vAlign w:val="center"/>
          </w:tcPr>
          <w:p w14:paraId="539A8228" w14:textId="77777777" w:rsidR="00F31133" w:rsidRPr="00437C56" w:rsidRDefault="00F31133" w:rsidP="00F31133">
            <w:pPr>
              <w:pStyle w:val="TableContents"/>
              <w:spacing w:line="288" w:lineRule="auto"/>
              <w:jc w:val="center"/>
              <w:rPr>
                <w:rFonts w:ascii="Times New Roman" w:hAnsi="Times New Roman"/>
                <w:b/>
                <w:color w:val="000000"/>
                <w:sz w:val="22"/>
              </w:rPr>
            </w:pPr>
            <w:r w:rsidRPr="00437C56">
              <w:rPr>
                <w:rFonts w:ascii="Times New Roman" w:hAnsi="Times New Roman"/>
                <w:b/>
                <w:color w:val="000000"/>
                <w:sz w:val="22"/>
              </w:rPr>
              <w:t>Item Number</w:t>
            </w:r>
          </w:p>
        </w:tc>
        <w:tc>
          <w:tcPr>
            <w:tcW w:w="6188" w:type="dxa"/>
            <w:shd w:val="clear" w:color="auto" w:fill="F2F2F2"/>
            <w:vAlign w:val="center"/>
          </w:tcPr>
          <w:p w14:paraId="69801A03" w14:textId="77777777" w:rsidR="00F31133" w:rsidRPr="00437C56" w:rsidRDefault="00F31133" w:rsidP="00F31133">
            <w:pPr>
              <w:pStyle w:val="TableContents"/>
              <w:spacing w:line="288" w:lineRule="auto"/>
              <w:jc w:val="center"/>
              <w:rPr>
                <w:rFonts w:ascii="Times New Roman" w:hAnsi="Times New Roman"/>
                <w:b/>
                <w:color w:val="000000"/>
                <w:sz w:val="22"/>
              </w:rPr>
            </w:pPr>
            <w:r w:rsidRPr="00437C56">
              <w:rPr>
                <w:rFonts w:ascii="Times New Roman" w:hAnsi="Times New Roman"/>
                <w:b/>
                <w:color w:val="000000"/>
                <w:sz w:val="22"/>
              </w:rPr>
              <w:t>Item</w:t>
            </w:r>
          </w:p>
        </w:tc>
        <w:tc>
          <w:tcPr>
            <w:tcW w:w="1701" w:type="dxa"/>
            <w:shd w:val="clear" w:color="auto" w:fill="F2F2F2"/>
            <w:vAlign w:val="center"/>
          </w:tcPr>
          <w:p w14:paraId="7272CAFD" w14:textId="77777777" w:rsidR="00F31133" w:rsidRPr="00437C56" w:rsidRDefault="00F31133" w:rsidP="00F31133">
            <w:pPr>
              <w:pStyle w:val="TableContents"/>
              <w:spacing w:line="288" w:lineRule="auto"/>
              <w:jc w:val="center"/>
              <w:rPr>
                <w:rFonts w:ascii="Times New Roman" w:hAnsi="Times New Roman"/>
                <w:b/>
                <w:color w:val="000000"/>
                <w:sz w:val="22"/>
              </w:rPr>
            </w:pPr>
            <w:r w:rsidRPr="00437C56">
              <w:rPr>
                <w:rFonts w:ascii="Times New Roman" w:hAnsi="Times New Roman"/>
                <w:b/>
                <w:color w:val="000000"/>
                <w:sz w:val="22"/>
              </w:rPr>
              <w:t>Number of Units</w:t>
            </w:r>
          </w:p>
        </w:tc>
      </w:tr>
      <w:tr w:rsidR="00F31133" w:rsidRPr="00437C56" w14:paraId="38874C75" w14:textId="77777777" w:rsidTr="00F31133">
        <w:trPr>
          <w:jc w:val="center"/>
        </w:trPr>
        <w:tc>
          <w:tcPr>
            <w:tcW w:w="1060" w:type="dxa"/>
            <w:vAlign w:val="center"/>
          </w:tcPr>
          <w:p w14:paraId="7901CD4C" w14:textId="77777777" w:rsidR="00F31133" w:rsidRPr="00437C56" w:rsidRDefault="00F31133" w:rsidP="00B15AFD">
            <w:pPr>
              <w:pStyle w:val="TableContents"/>
              <w:spacing w:before="0" w:after="0" w:line="288" w:lineRule="auto"/>
              <w:jc w:val="center"/>
              <w:rPr>
                <w:rFonts w:ascii="Times New Roman" w:hAnsi="Times New Roman"/>
                <w:bCs/>
                <w:color w:val="000000"/>
                <w:sz w:val="22"/>
              </w:rPr>
            </w:pPr>
            <w:r w:rsidRPr="00437C56">
              <w:rPr>
                <w:rFonts w:ascii="Times New Roman" w:hAnsi="Times New Roman"/>
                <w:bCs/>
                <w:color w:val="000000"/>
                <w:sz w:val="22"/>
              </w:rPr>
              <w:t>1</w:t>
            </w:r>
          </w:p>
        </w:tc>
        <w:tc>
          <w:tcPr>
            <w:tcW w:w="6188" w:type="dxa"/>
            <w:vAlign w:val="center"/>
          </w:tcPr>
          <w:p w14:paraId="552DE37B" w14:textId="0EFC4B28" w:rsidR="00F31133" w:rsidRPr="00437C56" w:rsidRDefault="00F31133" w:rsidP="00B15AFD">
            <w:pPr>
              <w:spacing w:before="0" w:after="0" w:line="288" w:lineRule="auto"/>
              <w:jc w:val="both"/>
              <w:outlineLvl w:val="0"/>
              <w:rPr>
                <w:rStyle w:val="Gl"/>
                <w:b w:val="0"/>
                <w:bCs/>
                <w:sz w:val="22"/>
                <w:szCs w:val="22"/>
              </w:rPr>
            </w:pPr>
            <w:r w:rsidRPr="00F31133">
              <w:rPr>
                <w:b/>
              </w:rPr>
              <w:t xml:space="preserve">Energy </w:t>
            </w:r>
            <w:r>
              <w:rPr>
                <w:b/>
              </w:rPr>
              <w:t>E</w:t>
            </w:r>
            <w:r w:rsidRPr="00F31133">
              <w:rPr>
                <w:b/>
              </w:rPr>
              <w:t>fficiency measures: TVs</w:t>
            </w:r>
          </w:p>
        </w:tc>
        <w:tc>
          <w:tcPr>
            <w:tcW w:w="1701" w:type="dxa"/>
            <w:vAlign w:val="center"/>
          </w:tcPr>
          <w:p w14:paraId="5C7CBDB9" w14:textId="4411DD13" w:rsidR="00F31133" w:rsidRPr="00437C56" w:rsidRDefault="00F31133"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3</w:t>
            </w:r>
            <w:r w:rsidR="00247B53">
              <w:rPr>
                <w:rFonts w:ascii="Times New Roman" w:hAnsi="Times New Roman"/>
                <w:bCs/>
                <w:color w:val="000000"/>
                <w:sz w:val="22"/>
              </w:rPr>
              <w:t>2</w:t>
            </w:r>
            <w:r>
              <w:rPr>
                <w:rFonts w:ascii="Times New Roman" w:hAnsi="Times New Roman"/>
                <w:bCs/>
                <w:color w:val="000000"/>
                <w:sz w:val="22"/>
              </w:rPr>
              <w:t xml:space="preserve"> pcs</w:t>
            </w:r>
          </w:p>
        </w:tc>
      </w:tr>
      <w:tr w:rsidR="00F31133" w:rsidRPr="00437C56" w14:paraId="4DD86505" w14:textId="77777777" w:rsidTr="00F31133">
        <w:trPr>
          <w:jc w:val="center"/>
        </w:trPr>
        <w:tc>
          <w:tcPr>
            <w:tcW w:w="1060" w:type="dxa"/>
            <w:vAlign w:val="center"/>
          </w:tcPr>
          <w:p w14:paraId="244BF4E6" w14:textId="7E3CD085" w:rsidR="00F31133" w:rsidRPr="00437C56" w:rsidRDefault="00F31133"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2</w:t>
            </w:r>
          </w:p>
        </w:tc>
        <w:tc>
          <w:tcPr>
            <w:tcW w:w="6188" w:type="dxa"/>
            <w:vAlign w:val="center"/>
          </w:tcPr>
          <w:p w14:paraId="10FEDC25" w14:textId="78E8026F" w:rsidR="00F31133" w:rsidRPr="00437C56" w:rsidRDefault="00F31133" w:rsidP="00B15AFD">
            <w:pPr>
              <w:spacing w:before="0" w:after="0" w:line="288" w:lineRule="auto"/>
              <w:jc w:val="both"/>
              <w:outlineLvl w:val="0"/>
              <w:rPr>
                <w:b/>
              </w:rPr>
            </w:pPr>
            <w:r>
              <w:rPr>
                <w:b/>
              </w:rPr>
              <w:t xml:space="preserve">Energy </w:t>
            </w:r>
            <w:r w:rsidRPr="00F31133">
              <w:rPr>
                <w:b/>
              </w:rPr>
              <w:t>Efficiency measures: Wall type air conditioners</w:t>
            </w:r>
          </w:p>
        </w:tc>
        <w:tc>
          <w:tcPr>
            <w:tcW w:w="1701" w:type="dxa"/>
            <w:vAlign w:val="center"/>
          </w:tcPr>
          <w:p w14:paraId="1C5040F3" w14:textId="1E262C44" w:rsidR="00F31133" w:rsidRPr="00437C56" w:rsidRDefault="00F31133"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32 pcs</w:t>
            </w:r>
          </w:p>
        </w:tc>
      </w:tr>
      <w:tr w:rsidR="00F31133" w:rsidRPr="00437C56" w14:paraId="564C80B9" w14:textId="77777777" w:rsidTr="00F31133">
        <w:trPr>
          <w:jc w:val="center"/>
        </w:trPr>
        <w:tc>
          <w:tcPr>
            <w:tcW w:w="1060" w:type="dxa"/>
            <w:vAlign w:val="center"/>
          </w:tcPr>
          <w:p w14:paraId="0E0DA3B9" w14:textId="7E187513" w:rsidR="00F31133" w:rsidRPr="00437C56" w:rsidRDefault="00F31133"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3</w:t>
            </w:r>
          </w:p>
        </w:tc>
        <w:tc>
          <w:tcPr>
            <w:tcW w:w="6188" w:type="dxa"/>
            <w:vAlign w:val="center"/>
          </w:tcPr>
          <w:p w14:paraId="3C4EB691" w14:textId="362C4F35" w:rsidR="00F31133" w:rsidRPr="00437C56" w:rsidRDefault="00F31133" w:rsidP="00B15AFD">
            <w:pPr>
              <w:spacing w:before="0" w:after="0" w:line="288" w:lineRule="auto"/>
              <w:jc w:val="both"/>
              <w:outlineLvl w:val="0"/>
              <w:rPr>
                <w:b/>
              </w:rPr>
            </w:pPr>
            <w:r w:rsidRPr="00F31133">
              <w:rPr>
                <w:b/>
              </w:rPr>
              <w:t xml:space="preserve">Energy Efficiency measures: </w:t>
            </w:r>
            <w:r>
              <w:rPr>
                <w:b/>
              </w:rPr>
              <w:t>H</w:t>
            </w:r>
            <w:r w:rsidRPr="00F31133">
              <w:rPr>
                <w:b/>
              </w:rPr>
              <w:t>airdryers</w:t>
            </w:r>
          </w:p>
        </w:tc>
        <w:tc>
          <w:tcPr>
            <w:tcW w:w="1701" w:type="dxa"/>
            <w:vAlign w:val="center"/>
          </w:tcPr>
          <w:p w14:paraId="32BEA1A8" w14:textId="77087819" w:rsidR="00F31133" w:rsidRPr="00437C56" w:rsidRDefault="00F31133"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32 pcs</w:t>
            </w:r>
          </w:p>
        </w:tc>
      </w:tr>
      <w:tr w:rsidR="00F31133" w:rsidRPr="00437C56" w14:paraId="02FD6662" w14:textId="77777777" w:rsidTr="00F31133">
        <w:trPr>
          <w:jc w:val="center"/>
        </w:trPr>
        <w:tc>
          <w:tcPr>
            <w:tcW w:w="1060" w:type="dxa"/>
            <w:vAlign w:val="center"/>
          </w:tcPr>
          <w:p w14:paraId="398CEDB6" w14:textId="240DD606" w:rsidR="00F31133" w:rsidRPr="00437C56" w:rsidRDefault="00F31133"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4</w:t>
            </w:r>
          </w:p>
        </w:tc>
        <w:tc>
          <w:tcPr>
            <w:tcW w:w="6188" w:type="dxa"/>
            <w:vAlign w:val="center"/>
          </w:tcPr>
          <w:p w14:paraId="6E882459" w14:textId="3564CCD8" w:rsidR="00F31133" w:rsidRPr="00437C56" w:rsidRDefault="00F31133" w:rsidP="00B15AFD">
            <w:pPr>
              <w:spacing w:before="0" w:after="0" w:line="288" w:lineRule="auto"/>
              <w:jc w:val="both"/>
              <w:outlineLvl w:val="0"/>
              <w:rPr>
                <w:rStyle w:val="Gl"/>
                <w:b w:val="0"/>
                <w:bCs/>
                <w:sz w:val="22"/>
                <w:szCs w:val="22"/>
              </w:rPr>
            </w:pPr>
            <w:r w:rsidRPr="00F31133">
              <w:rPr>
                <w:b/>
                <w:bCs/>
                <w:color w:val="282828"/>
                <w:spacing w:val="-4"/>
              </w:rPr>
              <w:t xml:space="preserve">Energy Efficiency measures: </w:t>
            </w:r>
            <w:r>
              <w:rPr>
                <w:b/>
                <w:bCs/>
                <w:color w:val="282828"/>
                <w:spacing w:val="-4"/>
              </w:rPr>
              <w:t>M</w:t>
            </w:r>
            <w:r w:rsidRPr="00F31133">
              <w:rPr>
                <w:b/>
                <w:bCs/>
                <w:color w:val="282828"/>
                <w:spacing w:val="-4"/>
              </w:rPr>
              <w:t>ini hotel type refrigerators</w:t>
            </w:r>
          </w:p>
        </w:tc>
        <w:tc>
          <w:tcPr>
            <w:tcW w:w="1701" w:type="dxa"/>
            <w:vAlign w:val="center"/>
          </w:tcPr>
          <w:p w14:paraId="77E7643D" w14:textId="7C5AE8D2" w:rsidR="00F31133" w:rsidRPr="00437C56" w:rsidRDefault="00F31133" w:rsidP="00B15AFD">
            <w:pPr>
              <w:pStyle w:val="TableContents"/>
              <w:spacing w:before="0" w:after="0" w:line="288" w:lineRule="auto"/>
              <w:rPr>
                <w:rFonts w:ascii="Times New Roman" w:hAnsi="Times New Roman"/>
                <w:bCs/>
                <w:color w:val="000000"/>
                <w:sz w:val="22"/>
              </w:rPr>
            </w:pPr>
            <w:r w:rsidRPr="00437C56">
              <w:rPr>
                <w:rFonts w:ascii="Times New Roman" w:hAnsi="Times New Roman"/>
                <w:bCs/>
                <w:color w:val="000000"/>
                <w:sz w:val="22"/>
              </w:rPr>
              <w:t xml:space="preserve">          </w:t>
            </w:r>
            <w:r>
              <w:rPr>
                <w:rFonts w:ascii="Times New Roman" w:hAnsi="Times New Roman"/>
                <w:bCs/>
                <w:color w:val="000000"/>
                <w:sz w:val="22"/>
              </w:rPr>
              <w:t>32 pcs</w:t>
            </w:r>
          </w:p>
        </w:tc>
      </w:tr>
    </w:tbl>
    <w:p w14:paraId="625BA42B" w14:textId="6725A84F" w:rsidR="00DD4A90" w:rsidRDefault="00DD4A90" w:rsidP="00DD4A90">
      <w:pPr>
        <w:keepNext/>
        <w:widowControl/>
        <w:spacing w:before="240" w:after="120"/>
        <w:ind w:left="284"/>
        <w:jc w:val="both"/>
        <w:outlineLvl w:val="0"/>
        <w:rPr>
          <w:rStyle w:val="Gl"/>
          <w:sz w:val="22"/>
          <w:szCs w:val="22"/>
        </w:rPr>
      </w:pPr>
      <w:r w:rsidRPr="00DD4A90">
        <w:rPr>
          <w:rStyle w:val="Gl"/>
          <w:sz w:val="22"/>
          <w:szCs w:val="22"/>
        </w:rPr>
        <w:t>LOT 2: Energy efficiency measures: Energy Saver system</w:t>
      </w:r>
    </w:p>
    <w:tbl>
      <w:tblPr>
        <w:tblW w:w="8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60"/>
        <w:gridCol w:w="6188"/>
        <w:gridCol w:w="1701"/>
      </w:tblGrid>
      <w:tr w:rsidR="00247B53" w:rsidRPr="00437C56" w14:paraId="7835DEEB" w14:textId="77777777" w:rsidTr="00B15AFD">
        <w:trPr>
          <w:jc w:val="center"/>
        </w:trPr>
        <w:tc>
          <w:tcPr>
            <w:tcW w:w="1060" w:type="dxa"/>
            <w:shd w:val="clear" w:color="auto" w:fill="F2F2F2"/>
            <w:vAlign w:val="center"/>
          </w:tcPr>
          <w:p w14:paraId="381DF4A8" w14:textId="77777777" w:rsidR="00247B53" w:rsidRPr="00437C56" w:rsidRDefault="00247B53" w:rsidP="00B15AFD">
            <w:pPr>
              <w:pStyle w:val="TableContents"/>
              <w:spacing w:line="288" w:lineRule="auto"/>
              <w:jc w:val="center"/>
              <w:rPr>
                <w:rFonts w:ascii="Times New Roman" w:hAnsi="Times New Roman"/>
                <w:b/>
                <w:color w:val="000000"/>
                <w:sz w:val="22"/>
              </w:rPr>
            </w:pPr>
            <w:r w:rsidRPr="00437C56">
              <w:rPr>
                <w:rFonts w:ascii="Times New Roman" w:hAnsi="Times New Roman"/>
                <w:b/>
                <w:color w:val="000000"/>
                <w:sz w:val="22"/>
              </w:rPr>
              <w:t>Item Number</w:t>
            </w:r>
          </w:p>
        </w:tc>
        <w:tc>
          <w:tcPr>
            <w:tcW w:w="6188" w:type="dxa"/>
            <w:shd w:val="clear" w:color="auto" w:fill="F2F2F2"/>
            <w:vAlign w:val="center"/>
          </w:tcPr>
          <w:p w14:paraId="703F97C3" w14:textId="77777777" w:rsidR="00247B53" w:rsidRPr="00437C56" w:rsidRDefault="00247B53" w:rsidP="00B15AFD">
            <w:pPr>
              <w:pStyle w:val="TableContents"/>
              <w:spacing w:line="288" w:lineRule="auto"/>
              <w:jc w:val="center"/>
              <w:rPr>
                <w:rFonts w:ascii="Times New Roman" w:hAnsi="Times New Roman"/>
                <w:b/>
                <w:color w:val="000000"/>
                <w:sz w:val="22"/>
              </w:rPr>
            </w:pPr>
            <w:r w:rsidRPr="00437C56">
              <w:rPr>
                <w:rFonts w:ascii="Times New Roman" w:hAnsi="Times New Roman"/>
                <w:b/>
                <w:color w:val="000000"/>
                <w:sz w:val="22"/>
              </w:rPr>
              <w:t>Item</w:t>
            </w:r>
          </w:p>
        </w:tc>
        <w:tc>
          <w:tcPr>
            <w:tcW w:w="1701" w:type="dxa"/>
            <w:shd w:val="clear" w:color="auto" w:fill="F2F2F2"/>
            <w:vAlign w:val="center"/>
          </w:tcPr>
          <w:p w14:paraId="52ADFFA9" w14:textId="77777777" w:rsidR="00247B53" w:rsidRPr="00437C56" w:rsidRDefault="00247B53" w:rsidP="00B15AFD">
            <w:pPr>
              <w:pStyle w:val="TableContents"/>
              <w:spacing w:line="288" w:lineRule="auto"/>
              <w:jc w:val="center"/>
              <w:rPr>
                <w:rFonts w:ascii="Times New Roman" w:hAnsi="Times New Roman"/>
                <w:b/>
                <w:color w:val="000000"/>
                <w:sz w:val="22"/>
              </w:rPr>
            </w:pPr>
            <w:r w:rsidRPr="00437C56">
              <w:rPr>
                <w:rFonts w:ascii="Times New Roman" w:hAnsi="Times New Roman"/>
                <w:b/>
                <w:color w:val="000000"/>
                <w:sz w:val="22"/>
              </w:rPr>
              <w:t>Number of Units</w:t>
            </w:r>
          </w:p>
        </w:tc>
      </w:tr>
      <w:tr w:rsidR="00247B53" w:rsidRPr="00437C56" w14:paraId="203D2BCA" w14:textId="77777777" w:rsidTr="00A540F0">
        <w:trPr>
          <w:jc w:val="center"/>
        </w:trPr>
        <w:tc>
          <w:tcPr>
            <w:tcW w:w="1060" w:type="dxa"/>
            <w:vAlign w:val="center"/>
          </w:tcPr>
          <w:p w14:paraId="45B5C61F" w14:textId="77777777" w:rsidR="00247B53" w:rsidRPr="00437C56" w:rsidRDefault="00247B53" w:rsidP="00247B53">
            <w:pPr>
              <w:pStyle w:val="TableContents"/>
              <w:spacing w:before="0" w:after="0" w:line="288" w:lineRule="auto"/>
              <w:jc w:val="center"/>
              <w:rPr>
                <w:rFonts w:ascii="Times New Roman" w:hAnsi="Times New Roman"/>
                <w:bCs/>
                <w:color w:val="000000"/>
                <w:sz w:val="22"/>
              </w:rPr>
            </w:pPr>
            <w:r w:rsidRPr="00437C56">
              <w:rPr>
                <w:rFonts w:ascii="Times New Roman" w:hAnsi="Times New Roman"/>
                <w:bCs/>
                <w:color w:val="000000"/>
                <w:sz w:val="22"/>
              </w:rPr>
              <w:t>1</w:t>
            </w:r>
          </w:p>
        </w:tc>
        <w:tc>
          <w:tcPr>
            <w:tcW w:w="6188" w:type="dxa"/>
          </w:tcPr>
          <w:p w14:paraId="697E6AB3" w14:textId="267DF0CC" w:rsidR="00247B53" w:rsidRPr="00247B53" w:rsidRDefault="00247B53" w:rsidP="00247B53">
            <w:pPr>
              <w:spacing w:before="0" w:after="0" w:line="288" w:lineRule="auto"/>
              <w:jc w:val="both"/>
              <w:outlineLvl w:val="0"/>
            </w:pPr>
            <w:r>
              <w:rPr>
                <w:b/>
              </w:rPr>
              <w:t>H</w:t>
            </w:r>
            <w:r w:rsidRPr="00247B53">
              <w:rPr>
                <w:b/>
              </w:rPr>
              <w:t>otel door system</w:t>
            </w:r>
          </w:p>
        </w:tc>
        <w:tc>
          <w:tcPr>
            <w:tcW w:w="1701" w:type="dxa"/>
            <w:vAlign w:val="center"/>
          </w:tcPr>
          <w:p w14:paraId="31D05442" w14:textId="696F7998" w:rsidR="00247B53" w:rsidRPr="00437C56" w:rsidRDefault="00247B53" w:rsidP="00247B53">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38 pcs</w:t>
            </w:r>
          </w:p>
        </w:tc>
      </w:tr>
      <w:tr w:rsidR="00247B53" w:rsidRPr="00437C56" w14:paraId="35BACAD8" w14:textId="77777777" w:rsidTr="00A540F0">
        <w:trPr>
          <w:jc w:val="center"/>
        </w:trPr>
        <w:tc>
          <w:tcPr>
            <w:tcW w:w="1060" w:type="dxa"/>
            <w:vAlign w:val="center"/>
          </w:tcPr>
          <w:p w14:paraId="65C5A69E" w14:textId="77777777" w:rsidR="00247B53" w:rsidRPr="00437C56" w:rsidRDefault="00247B53" w:rsidP="00247B53">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2</w:t>
            </w:r>
          </w:p>
        </w:tc>
        <w:tc>
          <w:tcPr>
            <w:tcW w:w="6188" w:type="dxa"/>
          </w:tcPr>
          <w:p w14:paraId="6A95EB1D" w14:textId="2B63F38F" w:rsidR="00247B53" w:rsidRPr="00437C56" w:rsidRDefault="00247B53" w:rsidP="00247B53">
            <w:pPr>
              <w:spacing w:before="0" w:after="0" w:line="288" w:lineRule="auto"/>
              <w:jc w:val="both"/>
              <w:outlineLvl w:val="0"/>
              <w:rPr>
                <w:b/>
              </w:rPr>
            </w:pPr>
            <w:r>
              <w:rPr>
                <w:b/>
              </w:rPr>
              <w:t>T</w:t>
            </w:r>
            <w:r w:rsidRPr="00247B53">
              <w:rPr>
                <w:b/>
              </w:rPr>
              <w:t>emic hotel card (unprinted)</w:t>
            </w:r>
          </w:p>
        </w:tc>
        <w:tc>
          <w:tcPr>
            <w:tcW w:w="1701" w:type="dxa"/>
            <w:vAlign w:val="center"/>
          </w:tcPr>
          <w:p w14:paraId="1469B112" w14:textId="2D347820" w:rsidR="00247B53" w:rsidRPr="00437C56" w:rsidRDefault="00247B53" w:rsidP="00247B53">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76 pcs</w:t>
            </w:r>
          </w:p>
        </w:tc>
      </w:tr>
      <w:tr w:rsidR="00247B53" w:rsidRPr="00437C56" w14:paraId="1A129875" w14:textId="77777777" w:rsidTr="00A540F0">
        <w:trPr>
          <w:jc w:val="center"/>
        </w:trPr>
        <w:tc>
          <w:tcPr>
            <w:tcW w:w="1060" w:type="dxa"/>
            <w:vAlign w:val="center"/>
          </w:tcPr>
          <w:p w14:paraId="5A048900" w14:textId="77777777" w:rsidR="00247B53" w:rsidRPr="00437C56" w:rsidRDefault="00247B53" w:rsidP="00247B53">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3</w:t>
            </w:r>
          </w:p>
        </w:tc>
        <w:tc>
          <w:tcPr>
            <w:tcW w:w="6188" w:type="dxa"/>
          </w:tcPr>
          <w:p w14:paraId="7B08983E" w14:textId="346BBFAE" w:rsidR="00247B53" w:rsidRPr="00437C56" w:rsidRDefault="00247B53" w:rsidP="00247B53">
            <w:pPr>
              <w:spacing w:before="0" w:after="0" w:line="288" w:lineRule="auto"/>
              <w:jc w:val="both"/>
              <w:outlineLvl w:val="0"/>
              <w:rPr>
                <w:b/>
              </w:rPr>
            </w:pPr>
            <w:r>
              <w:rPr>
                <w:b/>
              </w:rPr>
              <w:t>D</w:t>
            </w:r>
            <w:r w:rsidRPr="00247B53">
              <w:rPr>
                <w:b/>
              </w:rPr>
              <w:t>oor lock program</w:t>
            </w:r>
          </w:p>
        </w:tc>
        <w:tc>
          <w:tcPr>
            <w:tcW w:w="1701" w:type="dxa"/>
            <w:vAlign w:val="center"/>
          </w:tcPr>
          <w:p w14:paraId="13C57B29" w14:textId="4FECE5A1" w:rsidR="00247B53" w:rsidRPr="00437C56" w:rsidRDefault="00247B53" w:rsidP="00247B53">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 xml:space="preserve">1 </w:t>
            </w:r>
            <w:proofErr w:type="gramStart"/>
            <w:r>
              <w:rPr>
                <w:rFonts w:ascii="Times New Roman" w:hAnsi="Times New Roman"/>
                <w:bCs/>
                <w:color w:val="000000"/>
                <w:sz w:val="22"/>
              </w:rPr>
              <w:t>pcs</w:t>
            </w:r>
            <w:proofErr w:type="gramEnd"/>
          </w:p>
        </w:tc>
      </w:tr>
      <w:tr w:rsidR="00247B53" w:rsidRPr="00437C56" w14:paraId="488BDC63" w14:textId="77777777" w:rsidTr="00A540F0">
        <w:trPr>
          <w:jc w:val="center"/>
        </w:trPr>
        <w:tc>
          <w:tcPr>
            <w:tcW w:w="1060" w:type="dxa"/>
            <w:vAlign w:val="center"/>
          </w:tcPr>
          <w:p w14:paraId="566F7BB2" w14:textId="77777777" w:rsidR="00247B53" w:rsidRPr="00437C56" w:rsidRDefault="00247B53" w:rsidP="00247B53">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4</w:t>
            </w:r>
          </w:p>
        </w:tc>
        <w:tc>
          <w:tcPr>
            <w:tcW w:w="6188" w:type="dxa"/>
          </w:tcPr>
          <w:p w14:paraId="0DE9488A" w14:textId="71DDB858" w:rsidR="00247B53" w:rsidRPr="00247B53" w:rsidRDefault="00247B53" w:rsidP="00247B53">
            <w:pPr>
              <w:spacing w:before="0" w:after="0" w:line="288" w:lineRule="auto"/>
              <w:jc w:val="both"/>
              <w:outlineLvl w:val="0"/>
            </w:pPr>
            <w:r>
              <w:rPr>
                <w:b/>
              </w:rPr>
              <w:t>C</w:t>
            </w:r>
            <w:r w:rsidRPr="00247B53">
              <w:rPr>
                <w:b/>
              </w:rPr>
              <w:t>ard encoder</w:t>
            </w:r>
          </w:p>
        </w:tc>
        <w:tc>
          <w:tcPr>
            <w:tcW w:w="1701" w:type="dxa"/>
            <w:vAlign w:val="center"/>
          </w:tcPr>
          <w:p w14:paraId="499086B0" w14:textId="35367718" w:rsidR="00247B53" w:rsidRPr="00437C56" w:rsidRDefault="00247B53" w:rsidP="00247B53">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 xml:space="preserve">1 </w:t>
            </w:r>
            <w:proofErr w:type="gramStart"/>
            <w:r>
              <w:rPr>
                <w:rFonts w:ascii="Times New Roman" w:hAnsi="Times New Roman"/>
                <w:bCs/>
                <w:color w:val="000000"/>
                <w:sz w:val="22"/>
              </w:rPr>
              <w:t>pcs</w:t>
            </w:r>
            <w:proofErr w:type="gramEnd"/>
          </w:p>
        </w:tc>
      </w:tr>
      <w:tr w:rsidR="00247B53" w:rsidRPr="00437C56" w14:paraId="3096CBB6" w14:textId="77777777" w:rsidTr="00A540F0">
        <w:trPr>
          <w:jc w:val="center"/>
        </w:trPr>
        <w:tc>
          <w:tcPr>
            <w:tcW w:w="1060" w:type="dxa"/>
            <w:vAlign w:val="center"/>
          </w:tcPr>
          <w:p w14:paraId="36405EF1" w14:textId="2411D72A" w:rsidR="00247B53" w:rsidRDefault="00247B53" w:rsidP="00247B53">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5</w:t>
            </w:r>
          </w:p>
        </w:tc>
        <w:tc>
          <w:tcPr>
            <w:tcW w:w="6188" w:type="dxa"/>
          </w:tcPr>
          <w:p w14:paraId="5E870EC7" w14:textId="4AAC1FEE" w:rsidR="00247B53" w:rsidRDefault="00247B53" w:rsidP="00247B53">
            <w:pPr>
              <w:spacing w:before="0" w:after="0" w:line="288" w:lineRule="auto"/>
              <w:jc w:val="both"/>
              <w:outlineLvl w:val="0"/>
              <w:rPr>
                <w:b/>
              </w:rPr>
            </w:pPr>
            <w:r>
              <w:rPr>
                <w:b/>
              </w:rPr>
              <w:t>Energy saver</w:t>
            </w:r>
          </w:p>
        </w:tc>
        <w:tc>
          <w:tcPr>
            <w:tcW w:w="1701" w:type="dxa"/>
            <w:vAlign w:val="center"/>
          </w:tcPr>
          <w:p w14:paraId="7E4ED037" w14:textId="1CBA6161" w:rsidR="00247B53" w:rsidRPr="00437C56" w:rsidRDefault="00247B53" w:rsidP="00247B53">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38 pcs</w:t>
            </w:r>
          </w:p>
        </w:tc>
      </w:tr>
    </w:tbl>
    <w:p w14:paraId="0CEFBEC8" w14:textId="4D51CFF2" w:rsidR="0051622A" w:rsidRDefault="00DD4A90" w:rsidP="00DD4A90">
      <w:pPr>
        <w:keepNext/>
        <w:widowControl/>
        <w:spacing w:before="240" w:after="120"/>
        <w:ind w:left="284"/>
        <w:jc w:val="both"/>
        <w:outlineLvl w:val="0"/>
        <w:rPr>
          <w:rStyle w:val="Gl"/>
          <w:sz w:val="22"/>
          <w:szCs w:val="22"/>
        </w:rPr>
      </w:pPr>
      <w:r w:rsidRPr="00DD4A90">
        <w:rPr>
          <w:rStyle w:val="Gl"/>
          <w:sz w:val="22"/>
          <w:szCs w:val="22"/>
        </w:rPr>
        <w:t xml:space="preserve">LOT 3: Energy efficiency measures in the kitchen </w:t>
      </w:r>
    </w:p>
    <w:tbl>
      <w:tblPr>
        <w:tblW w:w="8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60"/>
        <w:gridCol w:w="6188"/>
        <w:gridCol w:w="1701"/>
      </w:tblGrid>
      <w:tr w:rsidR="00247B53" w:rsidRPr="00437C56" w14:paraId="46D0245D" w14:textId="77777777" w:rsidTr="00B15AFD">
        <w:trPr>
          <w:jc w:val="center"/>
        </w:trPr>
        <w:tc>
          <w:tcPr>
            <w:tcW w:w="1060" w:type="dxa"/>
            <w:shd w:val="clear" w:color="auto" w:fill="F2F2F2"/>
            <w:vAlign w:val="center"/>
          </w:tcPr>
          <w:p w14:paraId="672FA0B3" w14:textId="77777777" w:rsidR="00247B53" w:rsidRPr="00437C56" w:rsidRDefault="00247B53" w:rsidP="00B15AFD">
            <w:pPr>
              <w:pStyle w:val="TableContents"/>
              <w:spacing w:line="288" w:lineRule="auto"/>
              <w:jc w:val="center"/>
              <w:rPr>
                <w:rFonts w:ascii="Times New Roman" w:hAnsi="Times New Roman"/>
                <w:b/>
                <w:color w:val="000000"/>
                <w:sz w:val="22"/>
              </w:rPr>
            </w:pPr>
            <w:r w:rsidRPr="00437C56">
              <w:rPr>
                <w:rFonts w:ascii="Times New Roman" w:hAnsi="Times New Roman"/>
                <w:b/>
                <w:color w:val="000000"/>
                <w:sz w:val="22"/>
              </w:rPr>
              <w:t>Item Number</w:t>
            </w:r>
          </w:p>
        </w:tc>
        <w:tc>
          <w:tcPr>
            <w:tcW w:w="6188" w:type="dxa"/>
            <w:shd w:val="clear" w:color="auto" w:fill="F2F2F2"/>
            <w:vAlign w:val="center"/>
          </w:tcPr>
          <w:p w14:paraId="2934E778" w14:textId="77777777" w:rsidR="00247B53" w:rsidRPr="00437C56" w:rsidRDefault="00247B53" w:rsidP="00B15AFD">
            <w:pPr>
              <w:pStyle w:val="TableContents"/>
              <w:spacing w:line="288" w:lineRule="auto"/>
              <w:jc w:val="center"/>
              <w:rPr>
                <w:rFonts w:ascii="Times New Roman" w:hAnsi="Times New Roman"/>
                <w:b/>
                <w:color w:val="000000"/>
                <w:sz w:val="22"/>
              </w:rPr>
            </w:pPr>
            <w:r w:rsidRPr="00437C56">
              <w:rPr>
                <w:rFonts w:ascii="Times New Roman" w:hAnsi="Times New Roman"/>
                <w:b/>
                <w:color w:val="000000"/>
                <w:sz w:val="22"/>
              </w:rPr>
              <w:t>Item</w:t>
            </w:r>
          </w:p>
        </w:tc>
        <w:tc>
          <w:tcPr>
            <w:tcW w:w="1701" w:type="dxa"/>
            <w:shd w:val="clear" w:color="auto" w:fill="F2F2F2"/>
            <w:vAlign w:val="center"/>
          </w:tcPr>
          <w:p w14:paraId="6DA0A468" w14:textId="77777777" w:rsidR="00247B53" w:rsidRPr="00437C56" w:rsidRDefault="00247B53" w:rsidP="00B15AFD">
            <w:pPr>
              <w:pStyle w:val="TableContents"/>
              <w:spacing w:line="288" w:lineRule="auto"/>
              <w:jc w:val="center"/>
              <w:rPr>
                <w:rFonts w:ascii="Times New Roman" w:hAnsi="Times New Roman"/>
                <w:b/>
                <w:color w:val="000000"/>
                <w:sz w:val="22"/>
              </w:rPr>
            </w:pPr>
            <w:r w:rsidRPr="00437C56">
              <w:rPr>
                <w:rFonts w:ascii="Times New Roman" w:hAnsi="Times New Roman"/>
                <w:b/>
                <w:color w:val="000000"/>
                <w:sz w:val="22"/>
              </w:rPr>
              <w:t>Number of Units</w:t>
            </w:r>
          </w:p>
        </w:tc>
      </w:tr>
      <w:tr w:rsidR="00247B53" w:rsidRPr="00437C56" w14:paraId="1D8BE0C3" w14:textId="77777777" w:rsidTr="00B15AFD">
        <w:trPr>
          <w:jc w:val="center"/>
        </w:trPr>
        <w:tc>
          <w:tcPr>
            <w:tcW w:w="1060" w:type="dxa"/>
            <w:vAlign w:val="center"/>
          </w:tcPr>
          <w:p w14:paraId="3A0FE3EB" w14:textId="77777777" w:rsidR="00247B53" w:rsidRPr="00437C56" w:rsidRDefault="00247B53" w:rsidP="00B15AFD">
            <w:pPr>
              <w:pStyle w:val="TableContents"/>
              <w:spacing w:before="0" w:after="0" w:line="288" w:lineRule="auto"/>
              <w:jc w:val="center"/>
              <w:rPr>
                <w:rFonts w:ascii="Times New Roman" w:hAnsi="Times New Roman"/>
                <w:bCs/>
                <w:color w:val="000000"/>
                <w:sz w:val="22"/>
              </w:rPr>
            </w:pPr>
            <w:r w:rsidRPr="00437C56">
              <w:rPr>
                <w:rFonts w:ascii="Times New Roman" w:hAnsi="Times New Roman"/>
                <w:bCs/>
                <w:color w:val="000000"/>
                <w:sz w:val="22"/>
              </w:rPr>
              <w:t>1</w:t>
            </w:r>
          </w:p>
        </w:tc>
        <w:tc>
          <w:tcPr>
            <w:tcW w:w="6188" w:type="dxa"/>
          </w:tcPr>
          <w:p w14:paraId="0EA789F0" w14:textId="41B4084F" w:rsidR="00247B53" w:rsidRPr="00247B53" w:rsidRDefault="00247B53" w:rsidP="00B15AFD">
            <w:pPr>
              <w:spacing w:before="0" w:after="0" w:line="288" w:lineRule="auto"/>
              <w:jc w:val="both"/>
              <w:outlineLvl w:val="0"/>
            </w:pPr>
            <w:r>
              <w:rPr>
                <w:b/>
              </w:rPr>
              <w:t>A</w:t>
            </w:r>
            <w:r w:rsidRPr="00247B53">
              <w:rPr>
                <w:b/>
              </w:rPr>
              <w:t>ppetizer display cabinet</w:t>
            </w:r>
          </w:p>
        </w:tc>
        <w:tc>
          <w:tcPr>
            <w:tcW w:w="1701" w:type="dxa"/>
            <w:vAlign w:val="center"/>
          </w:tcPr>
          <w:p w14:paraId="4C636E50" w14:textId="1678AC6D" w:rsidR="00247B53" w:rsidRPr="00437C56" w:rsidRDefault="00247B53"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 xml:space="preserve">1 </w:t>
            </w:r>
            <w:proofErr w:type="gramStart"/>
            <w:r>
              <w:rPr>
                <w:rFonts w:ascii="Times New Roman" w:hAnsi="Times New Roman"/>
                <w:bCs/>
                <w:color w:val="000000"/>
                <w:sz w:val="22"/>
              </w:rPr>
              <w:t>pcs</w:t>
            </w:r>
            <w:proofErr w:type="gramEnd"/>
          </w:p>
        </w:tc>
      </w:tr>
      <w:tr w:rsidR="00247B53" w:rsidRPr="00437C56" w14:paraId="13C67913" w14:textId="77777777" w:rsidTr="00B15AFD">
        <w:trPr>
          <w:jc w:val="center"/>
        </w:trPr>
        <w:tc>
          <w:tcPr>
            <w:tcW w:w="1060" w:type="dxa"/>
            <w:vAlign w:val="center"/>
          </w:tcPr>
          <w:p w14:paraId="1A3A4952" w14:textId="77777777" w:rsidR="00247B53" w:rsidRPr="00437C56" w:rsidRDefault="00247B53"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2</w:t>
            </w:r>
          </w:p>
        </w:tc>
        <w:tc>
          <w:tcPr>
            <w:tcW w:w="6188" w:type="dxa"/>
          </w:tcPr>
          <w:p w14:paraId="491B9645" w14:textId="57CA39AD" w:rsidR="00247B53" w:rsidRPr="00437C56" w:rsidRDefault="00247B53" w:rsidP="00B15AFD">
            <w:pPr>
              <w:spacing w:before="0" w:after="0" w:line="288" w:lineRule="auto"/>
              <w:jc w:val="both"/>
              <w:outlineLvl w:val="0"/>
              <w:rPr>
                <w:b/>
              </w:rPr>
            </w:pPr>
            <w:r>
              <w:rPr>
                <w:b/>
              </w:rPr>
              <w:t>H</w:t>
            </w:r>
            <w:r w:rsidRPr="00247B53">
              <w:rPr>
                <w:b/>
              </w:rPr>
              <w:t>ot meal presentation</w:t>
            </w:r>
          </w:p>
        </w:tc>
        <w:tc>
          <w:tcPr>
            <w:tcW w:w="1701" w:type="dxa"/>
            <w:vAlign w:val="center"/>
          </w:tcPr>
          <w:p w14:paraId="4260B9D8" w14:textId="7C31CCF3" w:rsidR="00247B53" w:rsidRPr="00437C56" w:rsidRDefault="00247B53"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 xml:space="preserve">1 </w:t>
            </w:r>
            <w:proofErr w:type="gramStart"/>
            <w:r>
              <w:rPr>
                <w:rFonts w:ascii="Times New Roman" w:hAnsi="Times New Roman"/>
                <w:bCs/>
                <w:color w:val="000000"/>
                <w:sz w:val="22"/>
              </w:rPr>
              <w:t>pcs</w:t>
            </w:r>
            <w:proofErr w:type="gramEnd"/>
          </w:p>
        </w:tc>
      </w:tr>
      <w:tr w:rsidR="00247B53" w:rsidRPr="00437C56" w14:paraId="65526A20" w14:textId="77777777" w:rsidTr="00B15AFD">
        <w:trPr>
          <w:jc w:val="center"/>
        </w:trPr>
        <w:tc>
          <w:tcPr>
            <w:tcW w:w="1060" w:type="dxa"/>
            <w:vAlign w:val="center"/>
          </w:tcPr>
          <w:p w14:paraId="401F8D11" w14:textId="77777777" w:rsidR="00247B53" w:rsidRPr="00437C56" w:rsidRDefault="00247B53"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3</w:t>
            </w:r>
          </w:p>
        </w:tc>
        <w:tc>
          <w:tcPr>
            <w:tcW w:w="6188" w:type="dxa"/>
          </w:tcPr>
          <w:p w14:paraId="1573A3BD" w14:textId="2D464D05" w:rsidR="00247B53" w:rsidRPr="00437C56" w:rsidRDefault="00247B53" w:rsidP="00B15AFD">
            <w:pPr>
              <w:spacing w:before="0" w:after="0" w:line="288" w:lineRule="auto"/>
              <w:jc w:val="both"/>
              <w:outlineLvl w:val="0"/>
              <w:rPr>
                <w:b/>
              </w:rPr>
            </w:pPr>
            <w:r>
              <w:rPr>
                <w:b/>
              </w:rPr>
              <w:t>D</w:t>
            </w:r>
            <w:r w:rsidRPr="00247B53">
              <w:rPr>
                <w:b/>
              </w:rPr>
              <w:t>ishwasher 100tb/hour</w:t>
            </w:r>
          </w:p>
        </w:tc>
        <w:tc>
          <w:tcPr>
            <w:tcW w:w="1701" w:type="dxa"/>
            <w:vAlign w:val="center"/>
          </w:tcPr>
          <w:p w14:paraId="105D45FB" w14:textId="5603D4CD" w:rsidR="00247B53" w:rsidRPr="00437C56" w:rsidRDefault="00247B53"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2 pcs</w:t>
            </w:r>
          </w:p>
        </w:tc>
      </w:tr>
      <w:tr w:rsidR="00247B53" w:rsidRPr="00437C56" w14:paraId="4C80195E" w14:textId="77777777" w:rsidTr="00B15AFD">
        <w:trPr>
          <w:jc w:val="center"/>
        </w:trPr>
        <w:tc>
          <w:tcPr>
            <w:tcW w:w="1060" w:type="dxa"/>
            <w:vAlign w:val="center"/>
          </w:tcPr>
          <w:p w14:paraId="25BE3374" w14:textId="77777777" w:rsidR="00247B53" w:rsidRPr="00437C56" w:rsidRDefault="00247B53"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4</w:t>
            </w:r>
          </w:p>
        </w:tc>
        <w:tc>
          <w:tcPr>
            <w:tcW w:w="6188" w:type="dxa"/>
          </w:tcPr>
          <w:p w14:paraId="0CC8BD37" w14:textId="36A912FE" w:rsidR="00247B53" w:rsidRPr="00247B53" w:rsidRDefault="00247B53" w:rsidP="00B15AFD">
            <w:pPr>
              <w:spacing w:before="0" w:after="0" w:line="288" w:lineRule="auto"/>
              <w:jc w:val="both"/>
              <w:outlineLvl w:val="0"/>
            </w:pPr>
            <w:r>
              <w:rPr>
                <w:b/>
              </w:rPr>
              <w:t>E</w:t>
            </w:r>
            <w:r w:rsidRPr="00247B53">
              <w:rPr>
                <w:b/>
              </w:rPr>
              <w:t>lectric plate grill</w:t>
            </w:r>
          </w:p>
        </w:tc>
        <w:tc>
          <w:tcPr>
            <w:tcW w:w="1701" w:type="dxa"/>
            <w:vAlign w:val="center"/>
          </w:tcPr>
          <w:p w14:paraId="0C0F92D1" w14:textId="77777777" w:rsidR="00247B53" w:rsidRPr="00437C56" w:rsidRDefault="00247B53"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 xml:space="preserve">1 </w:t>
            </w:r>
            <w:proofErr w:type="gramStart"/>
            <w:r>
              <w:rPr>
                <w:rFonts w:ascii="Times New Roman" w:hAnsi="Times New Roman"/>
                <w:bCs/>
                <w:color w:val="000000"/>
                <w:sz w:val="22"/>
              </w:rPr>
              <w:t>pcs</w:t>
            </w:r>
            <w:proofErr w:type="gramEnd"/>
          </w:p>
        </w:tc>
      </w:tr>
      <w:tr w:rsidR="00247B53" w:rsidRPr="00437C56" w14:paraId="550336DD" w14:textId="77777777" w:rsidTr="00B15AFD">
        <w:trPr>
          <w:jc w:val="center"/>
        </w:trPr>
        <w:tc>
          <w:tcPr>
            <w:tcW w:w="1060" w:type="dxa"/>
            <w:vAlign w:val="center"/>
          </w:tcPr>
          <w:p w14:paraId="695A02E3" w14:textId="77777777" w:rsidR="00247B53" w:rsidRDefault="00247B53"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5</w:t>
            </w:r>
          </w:p>
        </w:tc>
        <w:tc>
          <w:tcPr>
            <w:tcW w:w="6188" w:type="dxa"/>
          </w:tcPr>
          <w:p w14:paraId="3D2DB334" w14:textId="5CE920D5" w:rsidR="00247B53" w:rsidRDefault="00D2292F" w:rsidP="00B15AFD">
            <w:pPr>
              <w:spacing w:before="0" w:after="0" w:line="288" w:lineRule="auto"/>
              <w:jc w:val="both"/>
              <w:outlineLvl w:val="0"/>
              <w:rPr>
                <w:b/>
              </w:rPr>
            </w:pPr>
            <w:r>
              <w:rPr>
                <w:b/>
              </w:rPr>
              <w:t>D</w:t>
            </w:r>
            <w:r w:rsidRPr="00D2292F">
              <w:rPr>
                <w:b/>
              </w:rPr>
              <w:t>ouble fryer</w:t>
            </w:r>
          </w:p>
        </w:tc>
        <w:tc>
          <w:tcPr>
            <w:tcW w:w="1701" w:type="dxa"/>
            <w:vAlign w:val="center"/>
          </w:tcPr>
          <w:p w14:paraId="1D40AB95" w14:textId="733854AD" w:rsidR="00247B53" w:rsidRPr="00437C56" w:rsidRDefault="00D2292F"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2</w:t>
            </w:r>
            <w:r w:rsidR="00247B53">
              <w:rPr>
                <w:rFonts w:ascii="Times New Roman" w:hAnsi="Times New Roman"/>
                <w:bCs/>
                <w:color w:val="000000"/>
                <w:sz w:val="22"/>
              </w:rPr>
              <w:t xml:space="preserve"> pcs</w:t>
            </w:r>
          </w:p>
        </w:tc>
      </w:tr>
      <w:tr w:rsidR="00D2292F" w:rsidRPr="00437C56" w14:paraId="244C16CB" w14:textId="77777777" w:rsidTr="00B15AFD">
        <w:trPr>
          <w:jc w:val="center"/>
        </w:trPr>
        <w:tc>
          <w:tcPr>
            <w:tcW w:w="1060" w:type="dxa"/>
            <w:vAlign w:val="center"/>
          </w:tcPr>
          <w:p w14:paraId="084EEF3E" w14:textId="1F4ED827" w:rsidR="00D2292F" w:rsidRDefault="00D2292F"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6</w:t>
            </w:r>
          </w:p>
        </w:tc>
        <w:tc>
          <w:tcPr>
            <w:tcW w:w="6188" w:type="dxa"/>
          </w:tcPr>
          <w:p w14:paraId="573CC409" w14:textId="12BAB217" w:rsidR="00D2292F" w:rsidRDefault="00D2292F" w:rsidP="00B15AFD">
            <w:pPr>
              <w:spacing w:before="0" w:after="0" w:line="288" w:lineRule="auto"/>
              <w:jc w:val="both"/>
              <w:outlineLvl w:val="0"/>
              <w:rPr>
                <w:b/>
              </w:rPr>
            </w:pPr>
            <w:r>
              <w:rPr>
                <w:b/>
              </w:rPr>
              <w:t>U</w:t>
            </w:r>
            <w:r w:rsidRPr="00D2292F">
              <w:rPr>
                <w:b/>
              </w:rPr>
              <w:t>pright freezer</w:t>
            </w:r>
          </w:p>
        </w:tc>
        <w:tc>
          <w:tcPr>
            <w:tcW w:w="1701" w:type="dxa"/>
            <w:vAlign w:val="center"/>
          </w:tcPr>
          <w:p w14:paraId="5139750B" w14:textId="760FCBCF" w:rsidR="00D2292F" w:rsidRDefault="00D2292F"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 xml:space="preserve">1 </w:t>
            </w:r>
            <w:proofErr w:type="gramStart"/>
            <w:r>
              <w:rPr>
                <w:rFonts w:ascii="Times New Roman" w:hAnsi="Times New Roman"/>
                <w:bCs/>
                <w:color w:val="000000"/>
                <w:sz w:val="22"/>
              </w:rPr>
              <w:t>pcs</w:t>
            </w:r>
            <w:proofErr w:type="gramEnd"/>
          </w:p>
        </w:tc>
      </w:tr>
      <w:tr w:rsidR="00D2292F" w:rsidRPr="00437C56" w14:paraId="6F8286F2" w14:textId="77777777" w:rsidTr="00B15AFD">
        <w:trPr>
          <w:jc w:val="center"/>
        </w:trPr>
        <w:tc>
          <w:tcPr>
            <w:tcW w:w="1060" w:type="dxa"/>
            <w:vAlign w:val="center"/>
          </w:tcPr>
          <w:p w14:paraId="0A34F074" w14:textId="26D4D9CF" w:rsidR="00D2292F" w:rsidRDefault="00D2292F"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7</w:t>
            </w:r>
          </w:p>
        </w:tc>
        <w:tc>
          <w:tcPr>
            <w:tcW w:w="6188" w:type="dxa"/>
          </w:tcPr>
          <w:p w14:paraId="2BF94FE2" w14:textId="036A79F2" w:rsidR="00D2292F" w:rsidRDefault="00D2292F" w:rsidP="00B15AFD">
            <w:pPr>
              <w:spacing w:before="0" w:after="0" w:line="288" w:lineRule="auto"/>
              <w:jc w:val="both"/>
              <w:outlineLvl w:val="0"/>
              <w:rPr>
                <w:b/>
              </w:rPr>
            </w:pPr>
            <w:r>
              <w:rPr>
                <w:b/>
              </w:rPr>
              <w:t>C</w:t>
            </w:r>
            <w:r w:rsidRPr="00D2292F">
              <w:rPr>
                <w:b/>
              </w:rPr>
              <w:t>ountertop three-door refrigerator</w:t>
            </w:r>
          </w:p>
        </w:tc>
        <w:tc>
          <w:tcPr>
            <w:tcW w:w="1701" w:type="dxa"/>
            <w:vAlign w:val="center"/>
          </w:tcPr>
          <w:p w14:paraId="167A5E5B" w14:textId="3D2AE8AE" w:rsidR="00D2292F" w:rsidRDefault="00D2292F"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 xml:space="preserve">1 </w:t>
            </w:r>
            <w:proofErr w:type="gramStart"/>
            <w:r>
              <w:rPr>
                <w:rFonts w:ascii="Times New Roman" w:hAnsi="Times New Roman"/>
                <w:bCs/>
                <w:color w:val="000000"/>
                <w:sz w:val="22"/>
              </w:rPr>
              <w:t>pcs</w:t>
            </w:r>
            <w:proofErr w:type="gramEnd"/>
          </w:p>
        </w:tc>
      </w:tr>
      <w:tr w:rsidR="00D2292F" w:rsidRPr="00437C56" w14:paraId="1456034F" w14:textId="77777777" w:rsidTr="00B15AFD">
        <w:trPr>
          <w:jc w:val="center"/>
        </w:trPr>
        <w:tc>
          <w:tcPr>
            <w:tcW w:w="1060" w:type="dxa"/>
            <w:vAlign w:val="center"/>
          </w:tcPr>
          <w:p w14:paraId="4CD51288" w14:textId="4C3675E1" w:rsidR="00D2292F" w:rsidRDefault="00D2292F"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8</w:t>
            </w:r>
          </w:p>
        </w:tc>
        <w:tc>
          <w:tcPr>
            <w:tcW w:w="6188" w:type="dxa"/>
          </w:tcPr>
          <w:p w14:paraId="2534BF1A" w14:textId="0C934AA8" w:rsidR="00D2292F" w:rsidRDefault="00D2292F" w:rsidP="00B15AFD">
            <w:pPr>
              <w:spacing w:before="0" w:after="0" w:line="288" w:lineRule="auto"/>
              <w:jc w:val="both"/>
              <w:outlineLvl w:val="0"/>
              <w:rPr>
                <w:b/>
              </w:rPr>
            </w:pPr>
            <w:r>
              <w:rPr>
                <w:b/>
              </w:rPr>
              <w:t>C</w:t>
            </w:r>
            <w:r w:rsidRPr="00D2292F">
              <w:rPr>
                <w:b/>
              </w:rPr>
              <w:t>ountertop three-door deep freezer</w:t>
            </w:r>
          </w:p>
        </w:tc>
        <w:tc>
          <w:tcPr>
            <w:tcW w:w="1701" w:type="dxa"/>
            <w:vAlign w:val="center"/>
          </w:tcPr>
          <w:p w14:paraId="73941E29" w14:textId="77567E41" w:rsidR="00D2292F" w:rsidRDefault="00D2292F"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 xml:space="preserve">1 </w:t>
            </w:r>
            <w:proofErr w:type="gramStart"/>
            <w:r>
              <w:rPr>
                <w:rFonts w:ascii="Times New Roman" w:hAnsi="Times New Roman"/>
                <w:bCs/>
                <w:color w:val="000000"/>
                <w:sz w:val="22"/>
              </w:rPr>
              <w:t>pcs</w:t>
            </w:r>
            <w:proofErr w:type="gramEnd"/>
          </w:p>
        </w:tc>
      </w:tr>
      <w:tr w:rsidR="00D2292F" w:rsidRPr="00437C56" w14:paraId="404A78E1" w14:textId="77777777" w:rsidTr="00B15AFD">
        <w:trPr>
          <w:jc w:val="center"/>
        </w:trPr>
        <w:tc>
          <w:tcPr>
            <w:tcW w:w="1060" w:type="dxa"/>
            <w:vAlign w:val="center"/>
          </w:tcPr>
          <w:p w14:paraId="74EED8E5" w14:textId="6CB6DEA5" w:rsidR="00D2292F" w:rsidRDefault="00D2292F"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9</w:t>
            </w:r>
          </w:p>
        </w:tc>
        <w:tc>
          <w:tcPr>
            <w:tcW w:w="6188" w:type="dxa"/>
          </w:tcPr>
          <w:p w14:paraId="0A03B444" w14:textId="5047C755" w:rsidR="00D2292F" w:rsidRDefault="00D2292F" w:rsidP="00B15AFD">
            <w:pPr>
              <w:spacing w:before="0" w:after="0" w:line="288" w:lineRule="auto"/>
              <w:jc w:val="both"/>
              <w:outlineLvl w:val="0"/>
              <w:rPr>
                <w:b/>
              </w:rPr>
            </w:pPr>
            <w:r>
              <w:rPr>
                <w:b/>
              </w:rPr>
              <w:t>U</w:t>
            </w:r>
            <w:r w:rsidRPr="00D2292F">
              <w:rPr>
                <w:b/>
              </w:rPr>
              <w:t>ndercounter refrigerator</w:t>
            </w:r>
          </w:p>
        </w:tc>
        <w:tc>
          <w:tcPr>
            <w:tcW w:w="1701" w:type="dxa"/>
            <w:vAlign w:val="center"/>
          </w:tcPr>
          <w:p w14:paraId="4B275DE8" w14:textId="5E69A576" w:rsidR="00D2292F" w:rsidRDefault="00D2292F"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2 pcs</w:t>
            </w:r>
          </w:p>
        </w:tc>
      </w:tr>
      <w:tr w:rsidR="00D2292F" w:rsidRPr="00437C56" w14:paraId="7E0ABA47" w14:textId="77777777" w:rsidTr="00B15AFD">
        <w:trPr>
          <w:jc w:val="center"/>
        </w:trPr>
        <w:tc>
          <w:tcPr>
            <w:tcW w:w="1060" w:type="dxa"/>
            <w:vAlign w:val="center"/>
          </w:tcPr>
          <w:p w14:paraId="61D49051" w14:textId="786DA21A" w:rsidR="00D2292F" w:rsidRDefault="00D2292F"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10</w:t>
            </w:r>
          </w:p>
        </w:tc>
        <w:tc>
          <w:tcPr>
            <w:tcW w:w="6188" w:type="dxa"/>
          </w:tcPr>
          <w:p w14:paraId="32B16ED5" w14:textId="5A6B660B" w:rsidR="00D2292F" w:rsidRDefault="00D2292F" w:rsidP="00B15AFD">
            <w:pPr>
              <w:spacing w:before="0" w:after="0" w:line="288" w:lineRule="auto"/>
              <w:jc w:val="both"/>
              <w:outlineLvl w:val="0"/>
              <w:rPr>
                <w:b/>
              </w:rPr>
            </w:pPr>
            <w:r>
              <w:rPr>
                <w:b/>
              </w:rPr>
              <w:t>E</w:t>
            </w:r>
            <w:r w:rsidRPr="00D2292F">
              <w:rPr>
                <w:b/>
              </w:rPr>
              <w:t>lectric grill</w:t>
            </w:r>
          </w:p>
        </w:tc>
        <w:tc>
          <w:tcPr>
            <w:tcW w:w="1701" w:type="dxa"/>
            <w:vAlign w:val="center"/>
          </w:tcPr>
          <w:p w14:paraId="5BF5C170" w14:textId="754E0B8C" w:rsidR="00D2292F" w:rsidRDefault="00D2292F" w:rsidP="00B15AFD">
            <w:pPr>
              <w:pStyle w:val="TableContents"/>
              <w:spacing w:before="0" w:after="0" w:line="288" w:lineRule="auto"/>
              <w:jc w:val="center"/>
              <w:rPr>
                <w:rFonts w:ascii="Times New Roman" w:hAnsi="Times New Roman"/>
                <w:bCs/>
                <w:color w:val="000000"/>
                <w:sz w:val="22"/>
              </w:rPr>
            </w:pPr>
            <w:r>
              <w:rPr>
                <w:rFonts w:ascii="Times New Roman" w:hAnsi="Times New Roman"/>
                <w:bCs/>
                <w:color w:val="000000"/>
                <w:sz w:val="22"/>
              </w:rPr>
              <w:t>6 pcs</w:t>
            </w:r>
          </w:p>
        </w:tc>
      </w:tr>
    </w:tbl>
    <w:p w14:paraId="7B21A1C8" w14:textId="77777777" w:rsidR="00247B53" w:rsidRPr="00DD4A90" w:rsidRDefault="00247B53" w:rsidP="00DD4A90">
      <w:pPr>
        <w:keepNext/>
        <w:widowControl/>
        <w:spacing w:before="240" w:after="120"/>
        <w:ind w:left="284"/>
        <w:jc w:val="both"/>
        <w:outlineLvl w:val="0"/>
        <w:rPr>
          <w:rStyle w:val="Gl"/>
          <w:sz w:val="22"/>
          <w:szCs w:val="22"/>
        </w:rPr>
      </w:pPr>
    </w:p>
    <w:p w14:paraId="75E79BC7" w14:textId="77777777" w:rsidR="006F5FD0" w:rsidRPr="00371C5B" w:rsidRDefault="006F5FD0" w:rsidP="00371C5B">
      <w:pPr>
        <w:keepNext/>
        <w:widowControl/>
        <w:spacing w:before="240" w:after="120"/>
        <w:ind w:left="284" w:hanging="284"/>
        <w:outlineLvl w:val="0"/>
        <w:rPr>
          <w:rStyle w:val="Gl"/>
        </w:rPr>
      </w:pPr>
      <w:r w:rsidRPr="00B33EE6">
        <w:rPr>
          <w:rStyle w:val="Gl"/>
          <w:sz w:val="22"/>
          <w:szCs w:val="22"/>
          <w:lang w:val="en-GB"/>
        </w:rPr>
        <w:t xml:space="preserve">8. </w:t>
      </w:r>
      <w:r w:rsidR="00584BF4" w:rsidRPr="00B33EE6">
        <w:rPr>
          <w:rStyle w:val="Gl"/>
          <w:sz w:val="22"/>
          <w:szCs w:val="22"/>
          <w:lang w:val="en-GB"/>
        </w:rPr>
        <w:tab/>
      </w:r>
      <w:r w:rsidRPr="00B33EE6">
        <w:rPr>
          <w:rStyle w:val="Gl"/>
          <w:sz w:val="22"/>
          <w:szCs w:val="22"/>
          <w:lang w:val="en-GB"/>
        </w:rPr>
        <w:t>Number and titles of lots</w:t>
      </w:r>
    </w:p>
    <w:p w14:paraId="30695717" w14:textId="77777777" w:rsidR="00D2292F" w:rsidRPr="00D2292F" w:rsidRDefault="00D2292F" w:rsidP="00D2292F">
      <w:pPr>
        <w:keepNext/>
        <w:widowControl/>
        <w:spacing w:before="240" w:after="120"/>
        <w:ind w:left="284" w:hanging="284"/>
        <w:outlineLvl w:val="0"/>
        <w:rPr>
          <w:rStyle w:val="Gl"/>
          <w:b w:val="0"/>
          <w:sz w:val="22"/>
          <w:szCs w:val="22"/>
          <w:lang w:val="en-GB"/>
        </w:rPr>
      </w:pPr>
      <w:r w:rsidRPr="00D2292F">
        <w:rPr>
          <w:rStyle w:val="Gl"/>
          <w:b w:val="0"/>
          <w:sz w:val="22"/>
          <w:szCs w:val="22"/>
          <w:lang w:val="en-GB"/>
        </w:rPr>
        <w:t>This contract is divided into 3 (three) separate lots as specified below:</w:t>
      </w:r>
    </w:p>
    <w:p w14:paraId="543ECF11" w14:textId="26B08A65" w:rsidR="00D2292F" w:rsidRPr="00D2292F" w:rsidRDefault="00D2292F" w:rsidP="00D2292F">
      <w:pPr>
        <w:keepNext/>
        <w:widowControl/>
        <w:spacing w:before="240" w:after="120"/>
        <w:ind w:left="284" w:hanging="284"/>
        <w:outlineLvl w:val="0"/>
        <w:rPr>
          <w:rStyle w:val="Gl"/>
          <w:b w:val="0"/>
          <w:sz w:val="22"/>
          <w:szCs w:val="22"/>
          <w:lang w:val="en-GB"/>
        </w:rPr>
      </w:pPr>
      <w:r w:rsidRPr="00D2292F">
        <w:rPr>
          <w:rStyle w:val="Gl"/>
          <w:b w:val="0"/>
          <w:sz w:val="22"/>
          <w:szCs w:val="22"/>
          <w:lang w:val="en-GB"/>
        </w:rPr>
        <w:t>Number of Lots: 3</w:t>
      </w:r>
    </w:p>
    <w:p w14:paraId="46354FF8" w14:textId="77777777" w:rsidR="00D2292F" w:rsidRDefault="00D2292F" w:rsidP="00D2292F">
      <w:pPr>
        <w:outlineLvl w:val="0"/>
        <w:rPr>
          <w:rStyle w:val="Gl"/>
          <w:b w:val="0"/>
          <w:sz w:val="22"/>
          <w:szCs w:val="22"/>
          <w:lang w:val="en-GB"/>
        </w:rPr>
      </w:pPr>
      <w:r w:rsidRPr="00D2292F">
        <w:rPr>
          <w:rStyle w:val="Gl"/>
          <w:b w:val="0"/>
          <w:sz w:val="22"/>
          <w:szCs w:val="22"/>
          <w:lang w:val="en-GB"/>
        </w:rPr>
        <w:t>Tenders may be submitted for all lots.</w:t>
      </w:r>
    </w:p>
    <w:p w14:paraId="54FEA05E" w14:textId="77777777" w:rsidR="00D2292F" w:rsidRPr="00DD4A90" w:rsidRDefault="00D2292F" w:rsidP="00D2292F">
      <w:pPr>
        <w:keepNext/>
        <w:widowControl/>
        <w:spacing w:before="240" w:after="120"/>
        <w:ind w:left="284"/>
        <w:jc w:val="both"/>
        <w:outlineLvl w:val="0"/>
        <w:rPr>
          <w:rStyle w:val="Gl"/>
          <w:sz w:val="22"/>
          <w:szCs w:val="22"/>
        </w:rPr>
      </w:pPr>
      <w:r w:rsidRPr="00DD4A90">
        <w:rPr>
          <w:rStyle w:val="Gl"/>
          <w:sz w:val="22"/>
          <w:szCs w:val="22"/>
        </w:rPr>
        <w:t>LOT 1: Energy efficiency measures in rooms</w:t>
      </w:r>
    </w:p>
    <w:p w14:paraId="0AD1D679" w14:textId="77777777" w:rsidR="00D2292F" w:rsidRDefault="00D2292F" w:rsidP="00D2292F">
      <w:pPr>
        <w:keepNext/>
        <w:widowControl/>
        <w:spacing w:before="240" w:after="120"/>
        <w:ind w:left="284"/>
        <w:jc w:val="both"/>
        <w:outlineLvl w:val="0"/>
        <w:rPr>
          <w:rStyle w:val="Gl"/>
          <w:sz w:val="22"/>
          <w:szCs w:val="22"/>
        </w:rPr>
      </w:pPr>
      <w:r w:rsidRPr="00DD4A90">
        <w:rPr>
          <w:rStyle w:val="Gl"/>
          <w:sz w:val="22"/>
          <w:szCs w:val="22"/>
        </w:rPr>
        <w:t>LOT 2: Energy efficiency measures: Energy Saver system</w:t>
      </w:r>
    </w:p>
    <w:p w14:paraId="1FCA172D" w14:textId="77777777" w:rsidR="00D2292F" w:rsidRDefault="00D2292F" w:rsidP="00D2292F">
      <w:pPr>
        <w:keepNext/>
        <w:widowControl/>
        <w:spacing w:before="240" w:after="120"/>
        <w:ind w:left="284"/>
        <w:jc w:val="both"/>
        <w:outlineLvl w:val="0"/>
        <w:rPr>
          <w:rStyle w:val="Gl"/>
          <w:sz w:val="22"/>
          <w:szCs w:val="22"/>
        </w:rPr>
      </w:pPr>
      <w:r w:rsidRPr="00DD4A90">
        <w:rPr>
          <w:rStyle w:val="Gl"/>
          <w:sz w:val="22"/>
          <w:szCs w:val="22"/>
        </w:rPr>
        <w:t xml:space="preserve">LOT 3: Energy efficiency measures in the kitchen </w:t>
      </w:r>
    </w:p>
    <w:p w14:paraId="6C843D95" w14:textId="5DBA1144" w:rsidR="006F5FD0" w:rsidRPr="00B33EE6" w:rsidRDefault="00000000" w:rsidP="00D2292F">
      <w:pPr>
        <w:outlineLvl w:val="0"/>
        <w:rPr>
          <w:sz w:val="22"/>
          <w:szCs w:val="22"/>
          <w:lang w:val="en-GB"/>
        </w:rPr>
      </w:pPr>
      <w:r>
        <w:rPr>
          <w:snapToGrid/>
          <w:sz w:val="22"/>
          <w:szCs w:val="22"/>
          <w:lang w:val="en-GB"/>
        </w:rPr>
        <w:pict w14:anchorId="21854D6C">
          <v:line id="_x0000_s2053" alt="" style="position:absolute;z-index:2;mso-wrap-edited:f;mso-width-percent:0;mso-height-percent:0;mso-width-percent:0;mso-height-percent:0" from="-1.05pt,17.55pt" to="466.95pt,17.6pt" o:allowincell="f" strokecolor="#d4d4d4" strokeweight="1.75pt">
            <v:shadow on="t" origin=",32385f" offset="0,-1pt"/>
          </v:line>
        </w:pict>
      </w:r>
    </w:p>
    <w:p w14:paraId="283B6821" w14:textId="77777777" w:rsidR="006F5FD0" w:rsidRPr="00B33EE6" w:rsidRDefault="006F5FD0" w:rsidP="00347E84">
      <w:pPr>
        <w:jc w:val="center"/>
        <w:rPr>
          <w:sz w:val="28"/>
          <w:szCs w:val="28"/>
          <w:lang w:val="en-GB"/>
        </w:rPr>
      </w:pPr>
      <w:r w:rsidRPr="00B33EE6">
        <w:rPr>
          <w:rStyle w:val="Gl"/>
          <w:sz w:val="28"/>
          <w:szCs w:val="28"/>
          <w:lang w:val="en-GB"/>
        </w:rPr>
        <w:t>CONDITIONS OF PARTICIPATION</w:t>
      </w:r>
    </w:p>
    <w:p w14:paraId="2CB5FCF7" w14:textId="47E123D2" w:rsidR="00B9793F" w:rsidRDefault="002845CD" w:rsidP="00371C5B">
      <w:pPr>
        <w:keepNext/>
        <w:widowControl/>
        <w:spacing w:before="240" w:after="120"/>
        <w:ind w:left="284" w:hanging="284"/>
        <w:outlineLvl w:val="0"/>
        <w:rPr>
          <w:rStyle w:val="Gl"/>
          <w:sz w:val="22"/>
          <w:szCs w:val="22"/>
          <w:lang w:val="en-GB"/>
        </w:rPr>
      </w:pPr>
      <w:r>
        <w:rPr>
          <w:rStyle w:val="Gl"/>
          <w:sz w:val="22"/>
          <w:szCs w:val="22"/>
          <w:lang w:val="en-GB"/>
        </w:rPr>
        <w:t>9</w:t>
      </w:r>
      <w:r w:rsidR="00B9793F">
        <w:rPr>
          <w:rStyle w:val="Gl"/>
          <w:sz w:val="22"/>
          <w:szCs w:val="22"/>
          <w:lang w:val="en-GB"/>
        </w:rPr>
        <w:t>.</w:t>
      </w:r>
      <w:r w:rsidR="00FD5083">
        <w:rPr>
          <w:rStyle w:val="Gl"/>
          <w:sz w:val="22"/>
          <w:szCs w:val="22"/>
          <w:lang w:val="en-GB"/>
        </w:rPr>
        <w:tab/>
      </w:r>
      <w:r w:rsidR="00B9793F" w:rsidRPr="00D97139">
        <w:rPr>
          <w:rStyle w:val="Gl"/>
          <w:sz w:val="22"/>
          <w:szCs w:val="22"/>
          <w:lang w:val="en-GB"/>
        </w:rPr>
        <w:t>Legal basis, eligibility and rules of origin</w:t>
      </w:r>
    </w:p>
    <w:p w14:paraId="4C2D7B19" w14:textId="77777777" w:rsidR="0051622A" w:rsidRPr="008B0583" w:rsidRDefault="0051622A" w:rsidP="0051622A">
      <w:pPr>
        <w:pStyle w:val="PRAGHeading2"/>
        <w:numPr>
          <w:ilvl w:val="0"/>
          <w:numId w:val="0"/>
        </w:numPr>
        <w:ind w:left="357" w:right="357"/>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Pr>
          <w:sz w:val="22"/>
          <w:szCs w:val="22"/>
        </w:rPr>
        <w:t>(INTERREG VI-A)</w:t>
      </w:r>
      <w:r w:rsidRPr="008B0583">
        <w:rPr>
          <w:sz w:val="22"/>
          <w:szCs w:val="22"/>
        </w:rPr>
        <w:t xml:space="preserve"> IPA Bulgaria-Turkey Cross-Border Cooperation </w:t>
      </w:r>
      <w:proofErr w:type="spellStart"/>
      <w:r w:rsidRPr="008B0583">
        <w:rPr>
          <w:sz w:val="22"/>
          <w:szCs w:val="22"/>
        </w:rPr>
        <w:t>Programme</w:t>
      </w:r>
      <w:proofErr w:type="spellEnd"/>
    </w:p>
    <w:p w14:paraId="63522FC5" w14:textId="79686E64" w:rsidR="006F5FD0" w:rsidRPr="00371C5B" w:rsidRDefault="006F5FD0" w:rsidP="00371C5B">
      <w:pPr>
        <w:keepNext/>
        <w:widowControl/>
        <w:spacing w:before="240" w:after="120"/>
        <w:ind w:left="426" w:hanging="426"/>
        <w:outlineLvl w:val="0"/>
        <w:rPr>
          <w:rStyle w:val="Gl"/>
        </w:rPr>
      </w:pPr>
      <w:r w:rsidRPr="00B33EE6">
        <w:rPr>
          <w:rStyle w:val="Gl"/>
          <w:sz w:val="22"/>
          <w:szCs w:val="22"/>
          <w:lang w:val="en-GB"/>
        </w:rPr>
        <w:t>1</w:t>
      </w:r>
      <w:r w:rsidR="004563EB">
        <w:rPr>
          <w:rStyle w:val="Gl"/>
          <w:sz w:val="22"/>
          <w:szCs w:val="22"/>
          <w:lang w:val="en-GB"/>
        </w:rPr>
        <w:t>0</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 xml:space="preserve">Number of </w:t>
      </w:r>
      <w:r w:rsidR="00632BDC" w:rsidRPr="00B33EE6">
        <w:rPr>
          <w:rStyle w:val="Gl"/>
          <w:sz w:val="22"/>
          <w:szCs w:val="22"/>
          <w:lang w:val="en-GB"/>
        </w:rPr>
        <w:t>tenders</w:t>
      </w:r>
    </w:p>
    <w:p w14:paraId="70CE1180" w14:textId="77777777" w:rsidR="00D626F7" w:rsidRPr="00B33EE6" w:rsidRDefault="00D626F7" w:rsidP="00D626F7">
      <w:pPr>
        <w:pStyle w:val="Blockquote"/>
        <w:spacing w:before="0" w:after="120"/>
        <w:ind w:left="425" w:right="0"/>
        <w:jc w:val="both"/>
        <w:rPr>
          <w:sz w:val="22"/>
          <w:szCs w:val="22"/>
          <w:lang w:val="en-GB"/>
        </w:rPr>
      </w:pPr>
      <w:r w:rsidRPr="00B33EE6">
        <w:rPr>
          <w:sz w:val="22"/>
          <w:szCs w:val="22"/>
          <w:lang w:val="en-GB"/>
        </w:rPr>
        <w:t>No more than one tender can be submitted by a natural or legal person whatever the form of participation (as an individual legal entity or as leader or member of a consortium submitting a tender).  In the event that a natural or legal person submits more than one tender, all tenders in which that person has participated will be excluded.</w:t>
      </w:r>
    </w:p>
    <w:p w14:paraId="2C824945" w14:textId="77777777" w:rsidR="00D626F7" w:rsidRPr="00C60EEB" w:rsidRDefault="00D626F7" w:rsidP="00D626F7">
      <w:pPr>
        <w:pStyle w:val="Blockquote"/>
        <w:spacing w:before="0" w:after="120"/>
        <w:ind w:left="425" w:right="0"/>
        <w:jc w:val="both"/>
        <w:rPr>
          <w:sz w:val="22"/>
          <w:szCs w:val="22"/>
          <w:lang w:val="en-GB"/>
        </w:rPr>
      </w:pPr>
      <w:r w:rsidRPr="00C60EEB">
        <w:rPr>
          <w:sz w:val="22"/>
          <w:szCs w:val="22"/>
          <w:lang w:val="en-GB"/>
        </w:rPr>
        <w:t>No restrictions may be made in the number of lots a tenderer can be awarded.</w:t>
      </w:r>
    </w:p>
    <w:p w14:paraId="1D41B9F4" w14:textId="77777777" w:rsidR="00D626F7" w:rsidRDefault="00D626F7" w:rsidP="00D626F7">
      <w:pPr>
        <w:pStyle w:val="Blockquote"/>
        <w:spacing w:before="0" w:after="120"/>
        <w:ind w:left="425" w:right="0"/>
        <w:jc w:val="both"/>
        <w:rPr>
          <w:sz w:val="22"/>
          <w:szCs w:val="22"/>
          <w:lang w:val="en-GB"/>
        </w:rPr>
      </w:pPr>
      <w:r w:rsidRPr="0054269E">
        <w:rPr>
          <w:sz w:val="22"/>
          <w:szCs w:val="22"/>
          <w:lang w:val="en-GB"/>
        </w:rPr>
        <w:t>The tenderer may submit a tender for one lot only, several lots or all of the lots, but only one tender per lot. Contracts will be awarded lot by lot and each lot will form a separate contract. If the tenderer is awarded more than one lot, a single contract may be concluded covering all those lots.</w:t>
      </w:r>
    </w:p>
    <w:p w14:paraId="7D878FF7" w14:textId="77777777" w:rsidR="00D626F7" w:rsidRPr="003319C5" w:rsidRDefault="00D626F7" w:rsidP="00D626F7">
      <w:pPr>
        <w:pStyle w:val="Blockquote"/>
        <w:spacing w:before="0" w:after="120"/>
        <w:ind w:left="425" w:right="0"/>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7B54A5E6" w14:textId="365FF395" w:rsidR="006F5FD0" w:rsidRPr="00371C5B" w:rsidRDefault="006F5FD0" w:rsidP="00371C5B">
      <w:pPr>
        <w:keepNext/>
        <w:widowControl/>
        <w:spacing w:before="240" w:after="120"/>
        <w:ind w:left="426" w:hanging="426"/>
        <w:outlineLvl w:val="0"/>
        <w:rPr>
          <w:rStyle w:val="Gl"/>
        </w:rPr>
      </w:pPr>
      <w:r w:rsidRPr="00B33EE6">
        <w:rPr>
          <w:rStyle w:val="Gl"/>
          <w:sz w:val="22"/>
          <w:szCs w:val="22"/>
          <w:lang w:val="en-GB"/>
        </w:rPr>
        <w:t>1</w:t>
      </w:r>
      <w:r w:rsidR="004563EB">
        <w:rPr>
          <w:rStyle w:val="Gl"/>
          <w:sz w:val="22"/>
          <w:szCs w:val="22"/>
          <w:lang w:val="en-GB"/>
        </w:rPr>
        <w:t>1</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Grounds for exclusion</w:t>
      </w:r>
    </w:p>
    <w:p w14:paraId="796D557F" w14:textId="54561F19" w:rsidR="006F5FD0" w:rsidRDefault="006F5FD0" w:rsidP="00371C5B">
      <w:pPr>
        <w:pStyle w:val="Blockquote"/>
        <w:spacing w:before="0" w:after="120"/>
        <w:ind w:left="425" w:right="0"/>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E128DF">
        <w:rPr>
          <w:sz w:val="22"/>
          <w:szCs w:val="22"/>
          <w:lang w:val="en-GB"/>
        </w:rPr>
        <w:t>4</w:t>
      </w:r>
      <w:r w:rsidRPr="00B33EE6">
        <w:rPr>
          <w:sz w:val="22"/>
          <w:szCs w:val="22"/>
          <w:lang w:val="en-GB"/>
        </w:rPr>
        <w:t>.</w:t>
      </w:r>
      <w:r w:rsidR="00E128DF">
        <w:rPr>
          <w:sz w:val="22"/>
          <w:szCs w:val="22"/>
          <w:lang w:val="en-GB"/>
        </w:rPr>
        <w:t>2</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E128DF">
        <w:rPr>
          <w:sz w:val="22"/>
          <w:szCs w:val="22"/>
          <w:lang w:val="en-GB"/>
        </w:rPr>
        <w:t>.</w:t>
      </w:r>
      <w:r w:rsidR="00E128DF" w:rsidRPr="00E128DF">
        <w:rPr>
          <w:sz w:val="22"/>
          <w:szCs w:val="22"/>
          <w:lang w:val="en-GB"/>
        </w:rPr>
        <w:t xml:space="preserve"> Where the tenderer intends to rely on capacity providing entities or subcontractor(s), he/she must provide the same declaration signed by this/these entity(</w:t>
      </w:r>
      <w:proofErr w:type="spellStart"/>
      <w:r w:rsidR="00E128DF" w:rsidRPr="00E128DF">
        <w:rPr>
          <w:sz w:val="22"/>
          <w:szCs w:val="22"/>
          <w:lang w:val="en-GB"/>
        </w:rPr>
        <w:t>ies</w:t>
      </w:r>
      <w:proofErr w:type="spellEnd"/>
      <w:r w:rsidR="00E128DF" w:rsidRPr="00E128DF">
        <w:rPr>
          <w:sz w:val="22"/>
          <w:szCs w:val="22"/>
          <w:lang w:val="en-GB"/>
        </w:rPr>
        <w:t>).</w:t>
      </w:r>
    </w:p>
    <w:p w14:paraId="7275ED88" w14:textId="5FCB0755" w:rsidR="0039147E" w:rsidRPr="00B33EE6" w:rsidRDefault="00C03AF5" w:rsidP="00371C5B">
      <w:pPr>
        <w:pStyle w:val="Blockquote"/>
        <w:spacing w:before="0" w:after="120"/>
        <w:ind w:left="425" w:right="0"/>
        <w:jc w:val="both"/>
        <w:rPr>
          <w:sz w:val="22"/>
          <w:szCs w:val="22"/>
          <w:lang w:val="en-GB"/>
        </w:rPr>
      </w:pPr>
      <w:r>
        <w:rPr>
          <w:sz w:val="22"/>
          <w:szCs w:val="22"/>
          <w:lang w:val="en-GB"/>
        </w:rPr>
        <w:lastRenderedPageBreak/>
        <w:t>Tenderer</w:t>
      </w:r>
      <w:r w:rsidR="0039147E">
        <w:rPr>
          <w:sz w:val="22"/>
          <w:szCs w:val="22"/>
          <w:lang w:val="en-GB"/>
        </w:rPr>
        <w:t xml:space="preserve"> included in the lists of EU restrictive measures</w:t>
      </w:r>
      <w:r w:rsidR="00F06A6A">
        <w:rPr>
          <w:rStyle w:val="DipnotBavurusu"/>
          <w:sz w:val="22"/>
          <w:szCs w:val="22"/>
          <w:lang w:val="en-GB"/>
        </w:rPr>
        <w:footnoteReference w:id="1"/>
      </w:r>
      <w:r w:rsidR="0039147E">
        <w:rPr>
          <w:sz w:val="22"/>
          <w:szCs w:val="22"/>
          <w:lang w:val="en-GB"/>
        </w:rPr>
        <w:t xml:space="preserve">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06F3E870" w:rsidR="006F5FD0" w:rsidRPr="00371C5B" w:rsidRDefault="006F5FD0" w:rsidP="00371C5B">
      <w:pPr>
        <w:keepNext/>
        <w:widowControl/>
        <w:spacing w:before="240" w:after="120"/>
        <w:ind w:left="426" w:hanging="426"/>
        <w:outlineLvl w:val="0"/>
        <w:rPr>
          <w:rStyle w:val="Gl"/>
        </w:rPr>
      </w:pPr>
      <w:r w:rsidRPr="00B33EE6">
        <w:rPr>
          <w:rStyle w:val="Gl"/>
          <w:sz w:val="22"/>
          <w:szCs w:val="22"/>
          <w:lang w:val="en-GB"/>
        </w:rPr>
        <w:t>1</w:t>
      </w:r>
      <w:r w:rsidR="004563EB">
        <w:rPr>
          <w:rStyle w:val="Gl"/>
          <w:sz w:val="22"/>
          <w:szCs w:val="22"/>
          <w:lang w:val="en-GB"/>
        </w:rPr>
        <w:t>2</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Sub-contracting</w:t>
      </w:r>
    </w:p>
    <w:p w14:paraId="2C010702" w14:textId="391D26F8" w:rsidR="00E9047D" w:rsidRDefault="00000000" w:rsidP="00371C5B">
      <w:pPr>
        <w:pStyle w:val="Blockquote"/>
        <w:spacing w:before="0" w:after="480"/>
        <w:ind w:left="425" w:right="0"/>
        <w:jc w:val="both"/>
        <w:rPr>
          <w:rStyle w:val="Vurgu"/>
          <w:i w:val="0"/>
          <w:sz w:val="22"/>
          <w:szCs w:val="22"/>
          <w:lang w:val="en-GB"/>
        </w:rPr>
      </w:pPr>
      <w:r>
        <w:rPr>
          <w:snapToGrid/>
          <w:sz w:val="22"/>
          <w:szCs w:val="22"/>
          <w:lang w:val="en-GB"/>
        </w:rPr>
        <w:pict w14:anchorId="11F7E59B">
          <v:line id="_x0000_s2052" alt="" style="position:absolute;left:0;text-align:left;z-index:3;mso-wrap-edited:f;mso-width-percent:0;mso-height-percent:0;mso-width-percent:0;mso-height-percent:0" from="1.5pt,35.35pt" to="469.5pt,35.4pt" o:allowincell="f" strokecolor="#d4d4d4" strokeweight="1.75pt">
            <v:shadow on="t" origin=",32385f" offset="0,-1pt"/>
          </v:line>
        </w:pict>
      </w:r>
      <w:r w:rsidR="006D6080" w:rsidRPr="00B33EE6">
        <w:rPr>
          <w:rStyle w:val="Vurgu"/>
          <w:i w:val="0"/>
          <w:sz w:val="22"/>
          <w:szCs w:val="22"/>
          <w:lang w:val="en-GB"/>
        </w:rPr>
        <w:t>Subcontracting is allowed</w:t>
      </w:r>
      <w:r w:rsidR="000C1101" w:rsidRPr="00B33EE6">
        <w:rPr>
          <w:rStyle w:val="Vurgu"/>
          <w:i w:val="0"/>
          <w:sz w:val="22"/>
          <w:szCs w:val="22"/>
          <w:lang w:val="en-GB"/>
        </w:rPr>
        <w:t>.</w:t>
      </w:r>
    </w:p>
    <w:p w14:paraId="3E76976B" w14:textId="25473DDE" w:rsidR="006F5FD0" w:rsidRPr="00B33EE6" w:rsidRDefault="006F5FD0" w:rsidP="00347E84">
      <w:pPr>
        <w:keepNext/>
        <w:jc w:val="center"/>
        <w:rPr>
          <w:sz w:val="28"/>
          <w:szCs w:val="28"/>
          <w:lang w:val="en-GB"/>
        </w:rPr>
      </w:pPr>
      <w:r w:rsidRPr="00B33EE6">
        <w:rPr>
          <w:rStyle w:val="Gl"/>
          <w:sz w:val="28"/>
          <w:szCs w:val="28"/>
          <w:lang w:val="en-GB"/>
        </w:rPr>
        <w:t>PROVISIONAL TIMETABLE</w:t>
      </w:r>
    </w:p>
    <w:p w14:paraId="669BA67B" w14:textId="5628C8CF" w:rsidR="006F5FD0" w:rsidRPr="00371C5B" w:rsidRDefault="006F5FD0" w:rsidP="00371C5B">
      <w:pPr>
        <w:keepNext/>
        <w:widowControl/>
        <w:spacing w:before="240" w:after="120"/>
        <w:ind w:left="426" w:hanging="426"/>
        <w:outlineLvl w:val="0"/>
        <w:rPr>
          <w:rStyle w:val="Gl"/>
        </w:rPr>
      </w:pPr>
      <w:r w:rsidRPr="00B33EE6">
        <w:rPr>
          <w:rStyle w:val="Gl"/>
          <w:sz w:val="22"/>
          <w:szCs w:val="22"/>
          <w:lang w:val="en-GB"/>
        </w:rPr>
        <w:t>1</w:t>
      </w:r>
      <w:r w:rsidR="004563EB">
        <w:rPr>
          <w:rStyle w:val="Gl"/>
          <w:sz w:val="22"/>
          <w:szCs w:val="22"/>
          <w:lang w:val="en-GB"/>
        </w:rPr>
        <w:t>3</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Provisional commencement date of the contract</w:t>
      </w:r>
    </w:p>
    <w:p w14:paraId="7C4EA8E0" w14:textId="204FE2D0" w:rsidR="006F5FD0" w:rsidRPr="00B33EE6" w:rsidRDefault="008E4DA7" w:rsidP="00A74B07">
      <w:pPr>
        <w:pStyle w:val="Blockquote"/>
        <w:spacing w:before="0" w:after="120"/>
        <w:ind w:left="426" w:right="0"/>
        <w:jc w:val="both"/>
        <w:rPr>
          <w:i/>
          <w:sz w:val="22"/>
          <w:szCs w:val="22"/>
          <w:lang w:val="en-GB"/>
        </w:rPr>
      </w:pPr>
      <w:r>
        <w:rPr>
          <w:rStyle w:val="Vurgu"/>
          <w:i w:val="0"/>
          <w:sz w:val="22"/>
          <w:szCs w:val="22"/>
          <w:lang w:val="en-GB"/>
        </w:rPr>
        <w:t>16</w:t>
      </w:r>
      <w:r w:rsidR="00185630">
        <w:rPr>
          <w:rStyle w:val="Vurgu"/>
          <w:i w:val="0"/>
          <w:sz w:val="22"/>
          <w:szCs w:val="22"/>
          <w:lang w:val="en-GB"/>
        </w:rPr>
        <w:t>.</w:t>
      </w:r>
      <w:r w:rsidR="00F7260A">
        <w:rPr>
          <w:rStyle w:val="Vurgu"/>
          <w:i w:val="0"/>
          <w:sz w:val="22"/>
          <w:szCs w:val="22"/>
          <w:lang w:val="en-GB"/>
        </w:rPr>
        <w:t>01</w:t>
      </w:r>
      <w:r w:rsidR="00185630">
        <w:rPr>
          <w:rStyle w:val="Vurgu"/>
          <w:i w:val="0"/>
          <w:sz w:val="22"/>
          <w:szCs w:val="22"/>
          <w:lang w:val="en-GB"/>
        </w:rPr>
        <w:t>.202</w:t>
      </w:r>
      <w:r w:rsidR="00F7260A">
        <w:rPr>
          <w:rStyle w:val="Vurgu"/>
          <w:i w:val="0"/>
          <w:sz w:val="22"/>
          <w:szCs w:val="22"/>
          <w:lang w:val="en-GB"/>
        </w:rPr>
        <w:t>6</w:t>
      </w:r>
    </w:p>
    <w:p w14:paraId="70B1A4AA" w14:textId="75AC88E9" w:rsidR="006F5FD0" w:rsidRPr="00371C5B" w:rsidRDefault="005639EC" w:rsidP="00371C5B">
      <w:pPr>
        <w:keepNext/>
        <w:widowControl/>
        <w:spacing w:before="240" w:after="120"/>
        <w:ind w:left="426" w:hanging="426"/>
        <w:outlineLvl w:val="0"/>
        <w:rPr>
          <w:rStyle w:val="Gl"/>
        </w:rPr>
      </w:pPr>
      <w:r w:rsidRPr="00B33EE6">
        <w:rPr>
          <w:rStyle w:val="Gl"/>
          <w:sz w:val="22"/>
          <w:szCs w:val="22"/>
          <w:lang w:val="en-GB"/>
        </w:rPr>
        <w:t>1</w:t>
      </w:r>
      <w:r w:rsidR="004563EB">
        <w:rPr>
          <w:rStyle w:val="Gl"/>
          <w:sz w:val="22"/>
          <w:szCs w:val="22"/>
          <w:lang w:val="en-GB"/>
        </w:rPr>
        <w:t>4</w:t>
      </w:r>
      <w:r w:rsidR="006F5FD0"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Implementation</w:t>
      </w:r>
      <w:r w:rsidR="006F5FD0" w:rsidRPr="00B33EE6">
        <w:rPr>
          <w:rStyle w:val="Gl"/>
          <w:sz w:val="22"/>
          <w:szCs w:val="22"/>
          <w:lang w:val="en-GB"/>
        </w:rPr>
        <w:t xml:space="preserve"> period of </w:t>
      </w:r>
      <w:r w:rsidRPr="00B33EE6">
        <w:rPr>
          <w:rStyle w:val="Gl"/>
          <w:sz w:val="22"/>
          <w:szCs w:val="22"/>
          <w:lang w:val="en-GB"/>
        </w:rPr>
        <w:t>the</w:t>
      </w:r>
      <w:r w:rsidR="00476D80" w:rsidRPr="00B33EE6">
        <w:rPr>
          <w:rStyle w:val="Gl"/>
          <w:sz w:val="22"/>
          <w:szCs w:val="22"/>
          <w:lang w:val="en-GB"/>
        </w:rPr>
        <w:t xml:space="preserve"> tasks </w:t>
      </w:r>
    </w:p>
    <w:p w14:paraId="75A5E5DD" w14:textId="58E27030" w:rsidR="00185630" w:rsidRPr="00B33EE6" w:rsidRDefault="00185630" w:rsidP="00A74B07">
      <w:pPr>
        <w:pStyle w:val="Blockquote"/>
        <w:ind w:left="426"/>
        <w:jc w:val="both"/>
        <w:rPr>
          <w:i/>
          <w:sz w:val="22"/>
          <w:szCs w:val="22"/>
          <w:lang w:val="en-GB"/>
        </w:rPr>
      </w:pPr>
      <w:r>
        <w:rPr>
          <w:rStyle w:val="Vurgu"/>
          <w:i w:val="0"/>
          <w:sz w:val="22"/>
          <w:szCs w:val="22"/>
          <w:lang w:val="en-GB"/>
        </w:rPr>
        <w:t xml:space="preserve">Within </w:t>
      </w:r>
      <w:r w:rsidR="00F7260A">
        <w:rPr>
          <w:rStyle w:val="Vurgu"/>
          <w:i w:val="0"/>
          <w:sz w:val="22"/>
          <w:szCs w:val="22"/>
          <w:lang w:val="en-GB"/>
        </w:rPr>
        <w:t>5</w:t>
      </w:r>
      <w:r>
        <w:rPr>
          <w:rStyle w:val="Vurgu"/>
          <w:i w:val="0"/>
          <w:sz w:val="22"/>
          <w:szCs w:val="22"/>
          <w:lang w:val="en-GB"/>
        </w:rPr>
        <w:t xml:space="preserve"> months</w:t>
      </w:r>
      <w:r w:rsidR="00F7260A">
        <w:rPr>
          <w:rStyle w:val="Vurgu"/>
          <w:i w:val="0"/>
          <w:sz w:val="22"/>
          <w:szCs w:val="22"/>
          <w:lang w:val="en-GB"/>
        </w:rPr>
        <w:t xml:space="preserve"> (150 calendar days)</w:t>
      </w:r>
      <w:r>
        <w:rPr>
          <w:rStyle w:val="Vurgu"/>
          <w:i w:val="0"/>
          <w:sz w:val="22"/>
          <w:szCs w:val="22"/>
          <w:lang w:val="en-GB"/>
        </w:rPr>
        <w:t xml:space="preserve"> after the agreement is signed. </w:t>
      </w:r>
    </w:p>
    <w:p w14:paraId="29CC7DD8" w14:textId="77777777" w:rsidR="006F5FD0" w:rsidRPr="00B33EE6" w:rsidRDefault="00000000" w:rsidP="00347E84">
      <w:pPr>
        <w:rPr>
          <w:sz w:val="22"/>
          <w:szCs w:val="22"/>
          <w:lang w:val="en-GB"/>
        </w:rPr>
      </w:pPr>
      <w:r>
        <w:rPr>
          <w:snapToGrid/>
          <w:sz w:val="22"/>
          <w:szCs w:val="22"/>
          <w:lang w:val="en-GB"/>
        </w:rPr>
        <w:pict w14:anchorId="6E3015B7">
          <v:line id="_x0000_s2051" alt="" style="position:absolute;z-index:4;mso-wrap-edited:f;mso-width-percent:0;mso-height-percent:0;mso-width-percent:0;mso-height-percent:0" from="0,18.75pt" to="468pt,18.8pt" o:allowincell="f" strokecolor="#d4d4d4" strokeweight="1.75pt">
            <v:shadow on="t" origin=",32385f" offset="0,-1pt"/>
          </v:line>
        </w:pict>
      </w:r>
    </w:p>
    <w:p w14:paraId="25048343" w14:textId="77777777" w:rsidR="006F5FD0" w:rsidRPr="00B33EE6" w:rsidRDefault="006F5FD0" w:rsidP="00347E84">
      <w:pPr>
        <w:jc w:val="center"/>
        <w:rPr>
          <w:sz w:val="28"/>
          <w:szCs w:val="28"/>
          <w:lang w:val="en-GB"/>
        </w:rPr>
      </w:pPr>
      <w:r w:rsidRPr="00B33EE6">
        <w:rPr>
          <w:rStyle w:val="Gl"/>
          <w:sz w:val="28"/>
          <w:szCs w:val="28"/>
          <w:lang w:val="en-GB"/>
        </w:rPr>
        <w:t>SELECTION AND AWARD CRITERIA</w:t>
      </w:r>
    </w:p>
    <w:p w14:paraId="392C793B" w14:textId="770D3912" w:rsidR="006F5FD0" w:rsidRDefault="005639EC" w:rsidP="00371C5B">
      <w:pPr>
        <w:keepNext/>
        <w:widowControl/>
        <w:spacing w:before="240" w:after="120"/>
        <w:ind w:left="425" w:hanging="425"/>
        <w:outlineLvl w:val="0"/>
        <w:rPr>
          <w:rStyle w:val="Gl"/>
          <w:sz w:val="22"/>
          <w:szCs w:val="22"/>
          <w:lang w:val="en-GB"/>
        </w:rPr>
      </w:pPr>
      <w:r w:rsidRPr="00B33EE6">
        <w:rPr>
          <w:rStyle w:val="Gl"/>
          <w:sz w:val="22"/>
          <w:szCs w:val="22"/>
          <w:lang w:val="en-GB"/>
        </w:rPr>
        <w:t>1</w:t>
      </w:r>
      <w:r w:rsidR="004563EB">
        <w:rPr>
          <w:rStyle w:val="Gl"/>
          <w:sz w:val="22"/>
          <w:szCs w:val="22"/>
          <w:lang w:val="en-GB"/>
        </w:rPr>
        <w:t>5</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Selection criteria</w:t>
      </w:r>
    </w:p>
    <w:p w14:paraId="7CAD1126" w14:textId="77777777" w:rsidR="00831982" w:rsidRPr="00AE0634" w:rsidRDefault="00831982" w:rsidP="00371C5B">
      <w:pPr>
        <w:pStyle w:val="Blockquote"/>
        <w:spacing w:before="0" w:after="120"/>
        <w:ind w:left="425" w:right="0"/>
        <w:jc w:val="both"/>
        <w:rPr>
          <w:sz w:val="22"/>
          <w:szCs w:val="22"/>
          <w:lang w:val="en-GB"/>
        </w:rPr>
      </w:pPr>
      <w:r w:rsidRPr="00AE0634">
        <w:rPr>
          <w:sz w:val="22"/>
          <w:szCs w:val="22"/>
          <w:lang w:val="en-GB"/>
        </w:rPr>
        <w:t>Capacity-providing entities</w:t>
      </w:r>
    </w:p>
    <w:p w14:paraId="1677E155" w14:textId="77777777" w:rsidR="00831982" w:rsidRPr="00AE0634" w:rsidRDefault="00831982" w:rsidP="00371C5B">
      <w:pPr>
        <w:pStyle w:val="Blockquote"/>
        <w:spacing w:before="0" w:after="120"/>
        <w:ind w:left="425" w:right="0"/>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371C5B">
      <w:pPr>
        <w:pStyle w:val="Blockquote"/>
        <w:spacing w:before="0" w:after="120"/>
        <w:ind w:left="425" w:right="0"/>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410C11" w14:textId="03C063D0" w:rsidR="00831982" w:rsidRPr="00B33EE6" w:rsidRDefault="00831982" w:rsidP="00371C5B">
      <w:pPr>
        <w:widowControl/>
        <w:spacing w:before="0" w:after="120"/>
        <w:ind w:left="425"/>
        <w:jc w:val="both"/>
        <w:rPr>
          <w:sz w:val="22"/>
          <w:szCs w:val="22"/>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Default="006F5FD0" w:rsidP="00371C5B">
      <w:pPr>
        <w:pStyle w:val="Blockquote"/>
        <w:ind w:left="425" w:right="0"/>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371C5B">
        <w:rPr>
          <w:b/>
          <w:bCs/>
          <w:sz w:val="22"/>
          <w:szCs w:val="22"/>
          <w:lang w:val="en-GB"/>
        </w:rPr>
        <w:t xml:space="preserve">. </w:t>
      </w:r>
      <w:r w:rsidRPr="00371C5B">
        <w:rPr>
          <w:b/>
          <w:bCs/>
          <w:sz w:val="22"/>
          <w:szCs w:val="22"/>
          <w:lang w:val="en-GB"/>
        </w:rPr>
        <w:t xml:space="preserve">In the case of </w:t>
      </w:r>
      <w:r w:rsidR="005639EC" w:rsidRPr="00371C5B">
        <w:rPr>
          <w:b/>
          <w:bCs/>
          <w:sz w:val="22"/>
          <w:szCs w:val="22"/>
          <w:lang w:val="en-GB"/>
        </w:rPr>
        <w:t>tenders</w:t>
      </w:r>
      <w:r w:rsidRPr="00371C5B">
        <w:rPr>
          <w:b/>
          <w:bCs/>
          <w:sz w:val="22"/>
          <w:szCs w:val="22"/>
          <w:lang w:val="en-GB"/>
        </w:rPr>
        <w:t xml:space="preserve"> submitted by a consortium, these selection criteria will be applied to the consortium as a whole</w:t>
      </w:r>
      <w:r w:rsidR="006751D2" w:rsidRPr="00371C5B">
        <w:rPr>
          <w:b/>
          <w:bCs/>
          <w:sz w:val="22"/>
          <w:szCs w:val="22"/>
          <w:lang w:val="en-GB"/>
        </w:rPr>
        <w:t xml:space="preserve"> if not specified otherwise</w:t>
      </w:r>
      <w:r w:rsidR="006751D2" w:rsidRPr="00B33EE6">
        <w:rPr>
          <w:sz w:val="22"/>
          <w:szCs w:val="22"/>
          <w:lang w:val="en-GB"/>
        </w:rPr>
        <w:t xml:space="preserve">. The selection criteria will not be applied to natural persons and single-member </w:t>
      </w:r>
      <w:r w:rsidR="006751D2" w:rsidRPr="00B33EE6">
        <w:rPr>
          <w:sz w:val="22"/>
          <w:szCs w:val="22"/>
          <w:lang w:val="en-GB"/>
        </w:rPr>
        <w:lastRenderedPageBreak/>
        <w:t>companies when they are sub-contractors.</w:t>
      </w:r>
    </w:p>
    <w:p w14:paraId="7E591805" w14:textId="2EE6B645" w:rsidR="00D06A30" w:rsidRDefault="00D06A30" w:rsidP="00371C5B">
      <w:pPr>
        <w:pStyle w:val="Blockquote"/>
        <w:ind w:left="425" w:right="0"/>
        <w:jc w:val="both"/>
        <w:rPr>
          <w:sz w:val="22"/>
          <w:szCs w:val="22"/>
          <w:lang w:val="en-GB"/>
        </w:rPr>
      </w:pPr>
      <w:r w:rsidRPr="004916FF">
        <w:rPr>
          <w:sz w:val="22"/>
          <w:szCs w:val="22"/>
          <w:lang w:val="en-GB"/>
        </w:rPr>
        <w:t xml:space="preserve">The </w:t>
      </w:r>
      <w:r>
        <w:rPr>
          <w:sz w:val="22"/>
          <w:szCs w:val="22"/>
          <w:lang w:val="en-GB"/>
        </w:rPr>
        <w:t>tenderer</w:t>
      </w:r>
      <w:r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72D0292F" w14:textId="44357E5D" w:rsidR="00A37271" w:rsidRPr="00943C70" w:rsidRDefault="00A37271" w:rsidP="00A37271">
      <w:pPr>
        <w:pStyle w:val="Blockquote"/>
        <w:ind w:left="425" w:right="0"/>
        <w:jc w:val="both"/>
        <w:rPr>
          <w:b/>
          <w:bCs/>
          <w:sz w:val="22"/>
          <w:szCs w:val="22"/>
          <w:u w:val="single"/>
        </w:rPr>
      </w:pPr>
      <w:bookmarkStart w:id="15" w:name="_Hlk205283190"/>
      <w:r w:rsidRPr="00943C70">
        <w:rPr>
          <w:b/>
          <w:bCs/>
          <w:sz w:val="22"/>
          <w:szCs w:val="22"/>
          <w:u w:val="single"/>
        </w:rPr>
        <w:t xml:space="preserve">The selection criteria for tenderers to Lot no 1 </w:t>
      </w:r>
      <w:r>
        <w:rPr>
          <w:b/>
          <w:bCs/>
          <w:sz w:val="22"/>
          <w:szCs w:val="22"/>
          <w:u w:val="single"/>
        </w:rPr>
        <w:t>are as</w:t>
      </w:r>
      <w:r w:rsidRPr="00943C70">
        <w:rPr>
          <w:b/>
          <w:bCs/>
          <w:sz w:val="22"/>
          <w:szCs w:val="22"/>
          <w:u w:val="single"/>
        </w:rPr>
        <w:t xml:space="preserve"> follow</w:t>
      </w:r>
      <w:r>
        <w:rPr>
          <w:b/>
          <w:bCs/>
          <w:sz w:val="22"/>
          <w:szCs w:val="22"/>
          <w:u w:val="single"/>
        </w:rPr>
        <w:t>s</w:t>
      </w:r>
      <w:r w:rsidRPr="00943C70">
        <w:rPr>
          <w:b/>
          <w:bCs/>
          <w:sz w:val="22"/>
          <w:szCs w:val="22"/>
          <w:u w:val="single"/>
        </w:rPr>
        <w:t>:</w:t>
      </w:r>
    </w:p>
    <w:bookmarkEnd w:id="15"/>
    <w:p w14:paraId="534F8137" w14:textId="157D13CB" w:rsidR="00A37271" w:rsidRPr="000D42ED" w:rsidRDefault="00A37271" w:rsidP="00A37271">
      <w:pPr>
        <w:pStyle w:val="Blockquote"/>
        <w:ind w:left="425" w:right="0"/>
        <w:jc w:val="both"/>
        <w:rPr>
          <w:b/>
          <w:bCs/>
          <w:sz w:val="22"/>
          <w:szCs w:val="22"/>
          <w:u w:val="single"/>
        </w:rPr>
      </w:pPr>
      <w:r w:rsidRPr="000D42ED">
        <w:rPr>
          <w:b/>
          <w:bCs/>
          <w:sz w:val="22"/>
          <w:szCs w:val="22"/>
          <w:u w:val="single"/>
        </w:rPr>
        <w:t xml:space="preserve">LOT 1: </w:t>
      </w:r>
      <w:r w:rsidRPr="00A37271">
        <w:rPr>
          <w:rStyle w:val="Gl"/>
          <w:sz w:val="22"/>
          <w:szCs w:val="22"/>
          <w:u w:val="single"/>
        </w:rPr>
        <w:t>Energy efficiency measures in rooms</w:t>
      </w:r>
    </w:p>
    <w:p w14:paraId="2C1CFAE4" w14:textId="77777777" w:rsidR="00A37271" w:rsidRPr="00557EAC" w:rsidRDefault="00A37271" w:rsidP="00A37271">
      <w:pPr>
        <w:pStyle w:val="Blockquote"/>
        <w:numPr>
          <w:ilvl w:val="0"/>
          <w:numId w:val="45"/>
        </w:numPr>
        <w:tabs>
          <w:tab w:val="left" w:pos="851"/>
        </w:tabs>
        <w:ind w:left="851" w:right="0" w:hanging="357"/>
        <w:jc w:val="both"/>
        <w:rPr>
          <w:sz w:val="22"/>
          <w:szCs w:val="22"/>
          <w:lang w:val="en-GB"/>
        </w:rPr>
      </w:pPr>
      <w:bookmarkStart w:id="16" w:name="_Hlk205285604"/>
      <w:r w:rsidRPr="00B33EE6">
        <w:rPr>
          <w:b/>
          <w:sz w:val="22"/>
          <w:szCs w:val="22"/>
          <w:u w:val="single"/>
          <w:lang w:val="en-GB"/>
        </w:rPr>
        <w:t>Economic and financial capacity of the tenderer</w:t>
      </w:r>
      <w:r w:rsidRPr="00B33EE6">
        <w:rPr>
          <w:b/>
          <w:sz w:val="22"/>
          <w:szCs w:val="22"/>
          <w:lang w:val="en-GB"/>
        </w:rPr>
        <w:t xml:space="preserve"> (</w:t>
      </w:r>
      <w:r w:rsidRPr="00B33EE6">
        <w:rPr>
          <w:sz w:val="22"/>
          <w:szCs w:val="22"/>
          <w:lang w:val="en-GB"/>
        </w:rPr>
        <w:t xml:space="preserve">based on item 3 of the tender form). In case of tenderer being a public body, equivalent information should be provided. The reference period which will be taken into account will be </w:t>
      </w:r>
      <w:r w:rsidRPr="00371C5B">
        <w:rPr>
          <w:b/>
          <w:bCs/>
          <w:sz w:val="22"/>
          <w:szCs w:val="22"/>
          <w:lang w:val="en-GB"/>
        </w:rPr>
        <w:t>the last three financial years for which accounts have been closed.</w:t>
      </w:r>
    </w:p>
    <w:p w14:paraId="1CC97CA9" w14:textId="571336DB" w:rsidR="00557EAC" w:rsidRPr="00557EAC" w:rsidRDefault="00557EAC" w:rsidP="00557EAC">
      <w:pPr>
        <w:pStyle w:val="Blockquote"/>
        <w:numPr>
          <w:ilvl w:val="0"/>
          <w:numId w:val="48"/>
        </w:numPr>
        <w:spacing w:before="0"/>
        <w:ind w:left="1418" w:right="0"/>
        <w:jc w:val="both"/>
        <w:rPr>
          <w:sz w:val="22"/>
          <w:szCs w:val="22"/>
          <w:lang w:val="es-ES_tradnl"/>
        </w:rPr>
      </w:pPr>
      <w:r w:rsidRPr="006A0B8B">
        <w:rPr>
          <w:sz w:val="22"/>
          <w:szCs w:val="22"/>
          <w:lang w:val="es-ES_tradnl"/>
        </w:rPr>
        <w:t xml:space="preserve">the average annual turnover of the tenderer over past three years must </w:t>
      </w:r>
      <w:r>
        <w:rPr>
          <w:sz w:val="22"/>
          <w:szCs w:val="22"/>
          <w:lang w:val="es-ES_tradnl"/>
        </w:rPr>
        <w:t xml:space="preserve">be equal or </w:t>
      </w:r>
      <w:r w:rsidRPr="006A0B8B">
        <w:rPr>
          <w:sz w:val="22"/>
          <w:szCs w:val="22"/>
          <w:lang w:val="es-ES_tradnl"/>
        </w:rPr>
        <w:t>exceed the value of the Tenderer’s Financial offer.</w:t>
      </w:r>
    </w:p>
    <w:p w14:paraId="7E3D7446" w14:textId="7BCA85DE" w:rsidR="00A37271" w:rsidRPr="00557EAC" w:rsidRDefault="00557EAC" w:rsidP="00557EAC">
      <w:pPr>
        <w:pStyle w:val="Blockquote"/>
        <w:numPr>
          <w:ilvl w:val="0"/>
          <w:numId w:val="45"/>
        </w:numPr>
        <w:tabs>
          <w:tab w:val="left" w:pos="851"/>
        </w:tabs>
        <w:ind w:left="851" w:right="0" w:hanging="357"/>
        <w:jc w:val="both"/>
        <w:rPr>
          <w:sz w:val="22"/>
          <w:szCs w:val="22"/>
          <w:lang w:val="en-GB"/>
        </w:rPr>
      </w:pPr>
      <w:r w:rsidRPr="00B33EE6">
        <w:rPr>
          <w:b/>
          <w:sz w:val="22"/>
          <w:szCs w:val="22"/>
          <w:u w:val="single"/>
          <w:lang w:val="en-GB"/>
        </w:rPr>
        <w:t>Professional capacity of the tenderer (</w:t>
      </w:r>
      <w:r w:rsidRPr="00B33EE6">
        <w:rPr>
          <w:sz w:val="22"/>
          <w:szCs w:val="22"/>
          <w:lang w:val="en-GB"/>
        </w:rPr>
        <w:t xml:space="preserve">based on items 4 </w:t>
      </w:r>
      <w:r>
        <w:rPr>
          <w:sz w:val="22"/>
          <w:szCs w:val="22"/>
          <w:lang w:val="en-GB"/>
        </w:rPr>
        <w:t xml:space="preserve">and 5 </w:t>
      </w:r>
      <w:r w:rsidRPr="00B33EE6">
        <w:rPr>
          <w:sz w:val="22"/>
          <w:szCs w:val="22"/>
          <w:lang w:val="en-GB"/>
        </w:rPr>
        <w:t>of the tender form).</w:t>
      </w:r>
    </w:p>
    <w:p w14:paraId="16A290C7" w14:textId="77777777" w:rsidR="00A37271" w:rsidRDefault="00A37271" w:rsidP="00557EAC">
      <w:pPr>
        <w:pStyle w:val="Blockquote"/>
        <w:ind w:left="851" w:right="0" w:hanging="6"/>
        <w:jc w:val="both"/>
        <w:rPr>
          <w:b/>
          <w:bCs/>
          <w:sz w:val="22"/>
          <w:szCs w:val="22"/>
          <w:lang w:val="en-GB"/>
        </w:rPr>
      </w:pPr>
      <w:r w:rsidRPr="00B33EE6">
        <w:rPr>
          <w:sz w:val="22"/>
          <w:szCs w:val="22"/>
          <w:lang w:val="en-GB"/>
        </w:rPr>
        <w:t xml:space="preserve">The reference period which will be taken into account will be </w:t>
      </w:r>
      <w:r w:rsidRPr="00371C5B">
        <w:rPr>
          <w:b/>
          <w:bCs/>
          <w:sz w:val="22"/>
          <w:szCs w:val="22"/>
          <w:lang w:val="en-GB"/>
        </w:rPr>
        <w:t>the last three years preceding the submission deadline.</w:t>
      </w:r>
    </w:p>
    <w:p w14:paraId="7598E101" w14:textId="77777777" w:rsidR="00A37271" w:rsidRDefault="00A37271" w:rsidP="00A37271">
      <w:pPr>
        <w:pBdr>
          <w:top w:val="nil"/>
          <w:left w:val="nil"/>
          <w:bottom w:val="nil"/>
          <w:right w:val="nil"/>
          <w:between w:val="nil"/>
        </w:pBdr>
        <w:ind w:left="1134" w:right="360"/>
        <w:jc w:val="both"/>
        <w:rPr>
          <w:color w:val="000000"/>
          <w:sz w:val="22"/>
          <w:szCs w:val="22"/>
        </w:rPr>
      </w:pPr>
      <w:r>
        <w:rPr>
          <w:color w:val="000000"/>
          <w:sz w:val="22"/>
          <w:szCs w:val="22"/>
          <w:u w:val="single"/>
        </w:rPr>
        <w:t xml:space="preserve">Criteria for legal persons: </w:t>
      </w:r>
    </w:p>
    <w:p w14:paraId="04FCE4D8" w14:textId="77777777" w:rsidR="00A37271" w:rsidRDefault="00A37271" w:rsidP="00557EAC">
      <w:pPr>
        <w:numPr>
          <w:ilvl w:val="0"/>
          <w:numId w:val="47"/>
        </w:numPr>
        <w:pBdr>
          <w:top w:val="nil"/>
          <w:left w:val="nil"/>
          <w:bottom w:val="nil"/>
          <w:right w:val="nil"/>
          <w:between w:val="nil"/>
        </w:pBdr>
        <w:ind w:left="1560" w:hanging="284"/>
        <w:rPr>
          <w:color w:val="000000"/>
          <w:sz w:val="22"/>
          <w:szCs w:val="22"/>
        </w:rPr>
      </w:pPr>
      <w:r>
        <w:rPr>
          <w:color w:val="000000"/>
          <w:sz w:val="22"/>
          <w:szCs w:val="22"/>
        </w:rPr>
        <w:t xml:space="preserve">at least </w:t>
      </w:r>
      <w:r w:rsidRPr="0053521B">
        <w:rPr>
          <w:bCs/>
          <w:color w:val="000000"/>
          <w:sz w:val="22"/>
          <w:szCs w:val="22"/>
        </w:rPr>
        <w:t>1 staff currently</w:t>
      </w:r>
      <w:r>
        <w:rPr>
          <w:color w:val="000000"/>
          <w:sz w:val="22"/>
          <w:szCs w:val="22"/>
        </w:rPr>
        <w:t xml:space="preserve"> working for the tenderer in fields related to this contract; </w:t>
      </w:r>
    </w:p>
    <w:p w14:paraId="74E3E125" w14:textId="77777777" w:rsidR="00A37271" w:rsidRDefault="00A37271" w:rsidP="00A37271">
      <w:pPr>
        <w:pBdr>
          <w:top w:val="nil"/>
          <w:left w:val="nil"/>
          <w:bottom w:val="nil"/>
          <w:right w:val="nil"/>
          <w:between w:val="nil"/>
        </w:pBdr>
        <w:ind w:left="1134" w:right="360"/>
        <w:rPr>
          <w:color w:val="000000"/>
          <w:sz w:val="22"/>
          <w:szCs w:val="22"/>
          <w:u w:val="single"/>
        </w:rPr>
      </w:pPr>
      <w:r>
        <w:rPr>
          <w:color w:val="000000"/>
          <w:sz w:val="22"/>
          <w:szCs w:val="22"/>
          <w:u w:val="single"/>
        </w:rPr>
        <w:t xml:space="preserve">Criteria for natural persons: </w:t>
      </w:r>
    </w:p>
    <w:p w14:paraId="157B4908" w14:textId="66049629" w:rsidR="00A37271" w:rsidRPr="00557EAC" w:rsidRDefault="00A37271" w:rsidP="00557EAC">
      <w:pPr>
        <w:numPr>
          <w:ilvl w:val="0"/>
          <w:numId w:val="47"/>
        </w:numPr>
        <w:pBdr>
          <w:top w:val="nil"/>
          <w:left w:val="nil"/>
          <w:bottom w:val="nil"/>
          <w:right w:val="nil"/>
          <w:between w:val="nil"/>
        </w:pBdr>
        <w:ind w:left="1276" w:hanging="6"/>
        <w:jc w:val="both"/>
        <w:rPr>
          <w:b/>
          <w:bCs/>
          <w:sz w:val="22"/>
          <w:szCs w:val="22"/>
          <w:lang w:val="en-GB"/>
        </w:rPr>
      </w:pPr>
      <w:r w:rsidRPr="00CD2962">
        <w:rPr>
          <w:color w:val="000000"/>
          <w:sz w:val="22"/>
          <w:szCs w:val="22"/>
        </w:rPr>
        <w:t>is currently working as manager/team-leader or collaborator in fields related to this contract.</w:t>
      </w:r>
    </w:p>
    <w:p w14:paraId="35AD7C18" w14:textId="77777777" w:rsidR="00A37271" w:rsidRDefault="00A37271" w:rsidP="00557EAC">
      <w:pPr>
        <w:pStyle w:val="Blockquote"/>
        <w:numPr>
          <w:ilvl w:val="0"/>
          <w:numId w:val="45"/>
        </w:numPr>
        <w:ind w:right="0" w:hanging="361"/>
        <w:jc w:val="both"/>
        <w:rPr>
          <w:sz w:val="22"/>
          <w:szCs w:val="22"/>
          <w:lang w:val="en-GB"/>
        </w:rPr>
      </w:pPr>
      <w:r w:rsidRPr="00B33EE6">
        <w:rPr>
          <w:b/>
          <w:sz w:val="22"/>
          <w:szCs w:val="22"/>
          <w:u w:val="single"/>
          <w:lang w:val="en-GB"/>
        </w:rPr>
        <w:t xml:space="preserve">Technical capacity of </w:t>
      </w:r>
      <w:r>
        <w:rPr>
          <w:b/>
          <w:sz w:val="22"/>
          <w:szCs w:val="22"/>
          <w:u w:val="single"/>
          <w:lang w:val="en-GB"/>
        </w:rPr>
        <w:t>tenderer</w:t>
      </w:r>
      <w:r w:rsidRPr="00B33EE6">
        <w:rPr>
          <w:b/>
          <w:sz w:val="22"/>
          <w:szCs w:val="22"/>
          <w:u w:val="single"/>
          <w:lang w:val="en-GB"/>
        </w:rPr>
        <w:t xml:space="preserve"> </w:t>
      </w:r>
      <w:r w:rsidRPr="00B33EE6">
        <w:rPr>
          <w:sz w:val="22"/>
          <w:szCs w:val="22"/>
          <w:lang w:val="en-GB"/>
        </w:rPr>
        <w:t xml:space="preserve">(based on items 6 of the tender form). The reference period which will be taken into account will be the last </w:t>
      </w:r>
      <w:r w:rsidRPr="000C34D9">
        <w:rPr>
          <w:sz w:val="22"/>
          <w:szCs w:val="22"/>
          <w:lang w:val="en-GB"/>
        </w:rPr>
        <w:t>three years</w:t>
      </w:r>
      <w:r w:rsidRPr="00A046E7">
        <w:rPr>
          <w:sz w:val="22"/>
          <w:szCs w:val="22"/>
          <w:lang w:val="en-GB"/>
        </w:rPr>
        <w:t xml:space="preserve"> </w:t>
      </w:r>
      <w:r>
        <w:rPr>
          <w:sz w:val="22"/>
          <w:szCs w:val="22"/>
          <w:lang w:val="en-GB"/>
        </w:rPr>
        <w:t>preceding the</w:t>
      </w:r>
      <w:r w:rsidRPr="00B33EE6">
        <w:rPr>
          <w:sz w:val="22"/>
          <w:szCs w:val="22"/>
          <w:lang w:val="en-GB"/>
        </w:rPr>
        <w:t xml:space="preserve"> submission deadline.</w:t>
      </w:r>
    </w:p>
    <w:p w14:paraId="5B7E636F" w14:textId="77777777" w:rsidR="00A37271" w:rsidRPr="00B33EE6" w:rsidRDefault="00A37271" w:rsidP="00557EAC">
      <w:pPr>
        <w:pStyle w:val="Blockquote"/>
        <w:tabs>
          <w:tab w:val="left" w:pos="284"/>
        </w:tabs>
        <w:ind w:left="851"/>
        <w:jc w:val="both"/>
        <w:rPr>
          <w:sz w:val="22"/>
          <w:szCs w:val="22"/>
          <w:lang w:val="en-GB"/>
        </w:rPr>
      </w:pPr>
      <w:r w:rsidRPr="000211D6">
        <w:rPr>
          <w:sz w:val="22"/>
          <w:szCs w:val="22"/>
        </w:rPr>
        <w:t>Technical criterion for legal and natural persons:</w:t>
      </w:r>
    </w:p>
    <w:p w14:paraId="1AB97471" w14:textId="77C0EC57" w:rsidR="00A37271" w:rsidRPr="00892B78" w:rsidRDefault="00A37271" w:rsidP="00557EAC">
      <w:pPr>
        <w:pStyle w:val="Blockquote"/>
        <w:numPr>
          <w:ilvl w:val="0"/>
          <w:numId w:val="48"/>
        </w:numPr>
        <w:tabs>
          <w:tab w:val="left" w:pos="993"/>
        </w:tabs>
        <w:ind w:left="1276" w:right="0" w:firstLine="0"/>
        <w:jc w:val="both"/>
        <w:rPr>
          <w:sz w:val="22"/>
          <w:szCs w:val="22"/>
          <w:lang w:val="en-GB"/>
        </w:rPr>
      </w:pPr>
      <w:r w:rsidRPr="00892B78">
        <w:rPr>
          <w:sz w:val="22"/>
          <w:szCs w:val="22"/>
          <w:lang w:val="en-GB"/>
        </w:rPr>
        <w:t xml:space="preserve">the tenderer has delivered supplies under at least 1 (one) contract   with a budget of at least that of this contract </w:t>
      </w:r>
      <w:r w:rsidR="00557EAC" w:rsidRPr="00892B78">
        <w:rPr>
          <w:sz w:val="22"/>
          <w:szCs w:val="22"/>
          <w:lang w:val="en-GB"/>
        </w:rPr>
        <w:t>in similar</w:t>
      </w:r>
      <w:r w:rsidRPr="00892B78">
        <w:rPr>
          <w:sz w:val="22"/>
          <w:szCs w:val="22"/>
          <w:lang w:val="en-GB"/>
        </w:rPr>
        <w:t xml:space="preserve"> </w:t>
      </w:r>
      <w:r w:rsidR="00557EAC" w:rsidRPr="00892B78">
        <w:rPr>
          <w:sz w:val="22"/>
          <w:szCs w:val="22"/>
          <w:lang w:val="en-GB"/>
        </w:rPr>
        <w:t>fields which</w:t>
      </w:r>
      <w:r w:rsidRPr="00892B78">
        <w:rPr>
          <w:sz w:val="22"/>
          <w:szCs w:val="22"/>
          <w:lang w:val="en-GB"/>
        </w:rPr>
        <w:t xml:space="preserve"> </w:t>
      </w:r>
      <w:r w:rsidR="00557EAC" w:rsidRPr="00892B78">
        <w:rPr>
          <w:sz w:val="22"/>
          <w:szCs w:val="22"/>
          <w:lang w:val="en-GB"/>
        </w:rPr>
        <w:t>was implemented</w:t>
      </w:r>
      <w:r w:rsidRPr="00892B78">
        <w:rPr>
          <w:sz w:val="22"/>
          <w:szCs w:val="22"/>
          <w:lang w:val="en-GB"/>
        </w:rPr>
        <w:t xml:space="preserve"> at any moment during the following period: 3 years from the submission deadline.</w:t>
      </w:r>
      <w:r w:rsidRPr="00892B78">
        <w:rPr>
          <w:b/>
          <w:bCs/>
          <w:sz w:val="22"/>
          <w:szCs w:val="22"/>
          <w:lang w:val="en-GB"/>
        </w:rPr>
        <w:t xml:space="preserve"> </w:t>
      </w:r>
      <w:r w:rsidR="00F7260A">
        <w:rPr>
          <w:b/>
          <w:bCs/>
          <w:sz w:val="22"/>
          <w:szCs w:val="22"/>
          <w:lang w:val="en-GB"/>
        </w:rPr>
        <w:t>2</w:t>
      </w:r>
      <w:r w:rsidR="004B2366">
        <w:rPr>
          <w:b/>
          <w:bCs/>
          <w:sz w:val="22"/>
          <w:szCs w:val="22"/>
          <w:lang w:val="en-GB"/>
        </w:rPr>
        <w:t>2</w:t>
      </w:r>
      <w:r w:rsidR="00F7260A" w:rsidRPr="00892B78">
        <w:rPr>
          <w:b/>
          <w:bCs/>
          <w:sz w:val="22"/>
          <w:szCs w:val="22"/>
          <w:lang w:val="en-GB"/>
        </w:rPr>
        <w:t>.1</w:t>
      </w:r>
      <w:r w:rsidR="00F7260A">
        <w:rPr>
          <w:b/>
          <w:bCs/>
          <w:sz w:val="22"/>
          <w:szCs w:val="22"/>
          <w:lang w:val="en-GB"/>
        </w:rPr>
        <w:t>2</w:t>
      </w:r>
      <w:r w:rsidR="00F7260A" w:rsidRPr="00892B78">
        <w:rPr>
          <w:b/>
          <w:bCs/>
          <w:sz w:val="22"/>
          <w:szCs w:val="22"/>
          <w:lang w:val="en-GB"/>
        </w:rPr>
        <w:t>.2022-</w:t>
      </w:r>
      <w:r w:rsidR="00F7260A">
        <w:rPr>
          <w:b/>
          <w:bCs/>
          <w:sz w:val="22"/>
          <w:szCs w:val="22"/>
          <w:lang w:val="en-GB"/>
        </w:rPr>
        <w:t>2</w:t>
      </w:r>
      <w:r w:rsidR="004B2366">
        <w:rPr>
          <w:b/>
          <w:bCs/>
          <w:sz w:val="22"/>
          <w:szCs w:val="22"/>
          <w:lang w:val="en-GB"/>
        </w:rPr>
        <w:t>2</w:t>
      </w:r>
      <w:r w:rsidR="00F7260A" w:rsidRPr="00892B78">
        <w:rPr>
          <w:b/>
          <w:bCs/>
          <w:sz w:val="22"/>
          <w:szCs w:val="22"/>
          <w:lang w:val="en-GB"/>
        </w:rPr>
        <w:t>.1</w:t>
      </w:r>
      <w:r w:rsidR="00F7260A">
        <w:rPr>
          <w:b/>
          <w:bCs/>
          <w:sz w:val="22"/>
          <w:szCs w:val="22"/>
          <w:lang w:val="en-GB"/>
        </w:rPr>
        <w:t>2</w:t>
      </w:r>
      <w:r w:rsidR="00F7260A" w:rsidRPr="00892B78">
        <w:rPr>
          <w:b/>
          <w:bCs/>
          <w:sz w:val="22"/>
          <w:szCs w:val="22"/>
          <w:lang w:val="en-GB"/>
        </w:rPr>
        <w:t>.2025</w:t>
      </w:r>
    </w:p>
    <w:bookmarkEnd w:id="16"/>
    <w:p w14:paraId="356E69F8" w14:textId="3838ADED" w:rsidR="00A37271" w:rsidRPr="00943C70" w:rsidRDefault="00A37271" w:rsidP="00557EAC">
      <w:pPr>
        <w:pStyle w:val="Blockquote"/>
        <w:ind w:right="0"/>
        <w:jc w:val="both"/>
        <w:rPr>
          <w:b/>
          <w:bCs/>
          <w:sz w:val="22"/>
          <w:szCs w:val="22"/>
          <w:u w:val="single"/>
        </w:rPr>
      </w:pPr>
      <w:r w:rsidRPr="00943C70">
        <w:rPr>
          <w:b/>
          <w:bCs/>
          <w:sz w:val="22"/>
          <w:szCs w:val="22"/>
          <w:u w:val="single"/>
        </w:rPr>
        <w:t xml:space="preserve">The selection criteria for tenderers to Lot no </w:t>
      </w:r>
      <w:r>
        <w:rPr>
          <w:b/>
          <w:bCs/>
          <w:sz w:val="22"/>
          <w:szCs w:val="22"/>
          <w:u w:val="single"/>
        </w:rPr>
        <w:t>2</w:t>
      </w:r>
      <w:r w:rsidRPr="00943C70">
        <w:rPr>
          <w:b/>
          <w:bCs/>
          <w:sz w:val="22"/>
          <w:szCs w:val="22"/>
          <w:u w:val="single"/>
        </w:rPr>
        <w:t xml:space="preserve"> </w:t>
      </w:r>
      <w:r>
        <w:rPr>
          <w:b/>
          <w:bCs/>
          <w:sz w:val="22"/>
          <w:szCs w:val="22"/>
          <w:u w:val="single"/>
        </w:rPr>
        <w:t>are as</w:t>
      </w:r>
      <w:r w:rsidRPr="00943C70">
        <w:rPr>
          <w:b/>
          <w:bCs/>
          <w:sz w:val="22"/>
          <w:szCs w:val="22"/>
          <w:u w:val="single"/>
        </w:rPr>
        <w:t xml:space="preserve"> follow</w:t>
      </w:r>
      <w:r>
        <w:rPr>
          <w:b/>
          <w:bCs/>
          <w:sz w:val="22"/>
          <w:szCs w:val="22"/>
          <w:u w:val="single"/>
        </w:rPr>
        <w:t>s</w:t>
      </w:r>
      <w:r w:rsidRPr="00943C70">
        <w:rPr>
          <w:b/>
          <w:bCs/>
          <w:sz w:val="22"/>
          <w:szCs w:val="22"/>
          <w:u w:val="single"/>
        </w:rPr>
        <w:t>:</w:t>
      </w:r>
    </w:p>
    <w:p w14:paraId="4C7902FE" w14:textId="1EAB016E" w:rsidR="00A37271" w:rsidRPr="00943C70" w:rsidRDefault="00A37271" w:rsidP="00557EAC">
      <w:pPr>
        <w:pStyle w:val="Blockquote"/>
        <w:tabs>
          <w:tab w:val="left" w:pos="851"/>
        </w:tabs>
        <w:ind w:right="0"/>
        <w:jc w:val="both"/>
        <w:rPr>
          <w:b/>
          <w:bCs/>
          <w:sz w:val="22"/>
          <w:szCs w:val="22"/>
          <w:u w:val="single"/>
          <w:lang w:val="en-GB"/>
        </w:rPr>
      </w:pPr>
      <w:r w:rsidRPr="00943C70">
        <w:rPr>
          <w:b/>
          <w:bCs/>
          <w:sz w:val="22"/>
          <w:szCs w:val="22"/>
          <w:u w:val="single"/>
          <w:lang w:val="en-GB"/>
        </w:rPr>
        <w:t xml:space="preserve">LOT 2: </w:t>
      </w:r>
      <w:r w:rsidRPr="00A37271">
        <w:rPr>
          <w:b/>
          <w:bCs/>
          <w:sz w:val="22"/>
          <w:szCs w:val="22"/>
          <w:u w:val="single"/>
          <w:lang w:val="en-GB"/>
        </w:rPr>
        <w:t>Energy efficiency measures: Energy Saver system</w:t>
      </w:r>
    </w:p>
    <w:p w14:paraId="2491B4F2" w14:textId="77777777" w:rsidR="00557EAC" w:rsidRPr="00557EAC" w:rsidRDefault="00557EAC" w:rsidP="00557EAC">
      <w:pPr>
        <w:pStyle w:val="Blockquote"/>
        <w:numPr>
          <w:ilvl w:val="0"/>
          <w:numId w:val="49"/>
        </w:numPr>
        <w:tabs>
          <w:tab w:val="left" w:pos="851"/>
        </w:tabs>
        <w:ind w:right="0"/>
        <w:jc w:val="both"/>
        <w:rPr>
          <w:sz w:val="22"/>
          <w:szCs w:val="22"/>
          <w:lang w:val="en-GB"/>
        </w:rPr>
      </w:pPr>
      <w:r w:rsidRPr="00B33EE6">
        <w:rPr>
          <w:b/>
          <w:sz w:val="22"/>
          <w:szCs w:val="22"/>
          <w:u w:val="single"/>
          <w:lang w:val="en-GB"/>
        </w:rPr>
        <w:t>Economic and financial capacity of the tenderer</w:t>
      </w:r>
      <w:r w:rsidRPr="00B33EE6">
        <w:rPr>
          <w:b/>
          <w:sz w:val="22"/>
          <w:szCs w:val="22"/>
          <w:lang w:val="en-GB"/>
        </w:rPr>
        <w:t xml:space="preserve"> (</w:t>
      </w:r>
      <w:r w:rsidRPr="00B33EE6">
        <w:rPr>
          <w:sz w:val="22"/>
          <w:szCs w:val="22"/>
          <w:lang w:val="en-GB"/>
        </w:rPr>
        <w:t xml:space="preserve">based on item 3 of the tender form). In case of tenderer being a public body, equivalent information should be provided. The reference period which will be taken into account will be </w:t>
      </w:r>
      <w:r w:rsidRPr="00371C5B">
        <w:rPr>
          <w:b/>
          <w:bCs/>
          <w:sz w:val="22"/>
          <w:szCs w:val="22"/>
          <w:lang w:val="en-GB"/>
        </w:rPr>
        <w:t>the last three financial years for which accounts have been closed.</w:t>
      </w:r>
    </w:p>
    <w:p w14:paraId="04D77BD6" w14:textId="77777777" w:rsidR="00557EAC" w:rsidRDefault="00557EAC" w:rsidP="00557EAC">
      <w:pPr>
        <w:pStyle w:val="Blockquote"/>
        <w:numPr>
          <w:ilvl w:val="0"/>
          <w:numId w:val="48"/>
        </w:numPr>
        <w:spacing w:before="0"/>
        <w:ind w:left="1418" w:right="0"/>
        <w:jc w:val="both"/>
        <w:rPr>
          <w:sz w:val="22"/>
          <w:szCs w:val="22"/>
          <w:lang w:val="es-ES_tradnl"/>
        </w:rPr>
      </w:pPr>
      <w:r w:rsidRPr="006A0B8B">
        <w:rPr>
          <w:sz w:val="22"/>
          <w:szCs w:val="22"/>
          <w:lang w:val="es-ES_tradnl"/>
        </w:rPr>
        <w:t xml:space="preserve">the average annual turnover of the tenderer over past three years must </w:t>
      </w:r>
      <w:r>
        <w:rPr>
          <w:sz w:val="22"/>
          <w:szCs w:val="22"/>
          <w:lang w:val="es-ES_tradnl"/>
        </w:rPr>
        <w:t xml:space="preserve">be equal or </w:t>
      </w:r>
      <w:r w:rsidRPr="006A0B8B">
        <w:rPr>
          <w:sz w:val="22"/>
          <w:szCs w:val="22"/>
          <w:lang w:val="es-ES_tradnl"/>
        </w:rPr>
        <w:t>exceed the value of the Tenderer’s Financial offer.</w:t>
      </w:r>
    </w:p>
    <w:p w14:paraId="4A309EDA" w14:textId="77777777" w:rsidR="00557EAC" w:rsidRDefault="00557EAC" w:rsidP="00557EAC">
      <w:pPr>
        <w:pStyle w:val="Blockquote"/>
        <w:spacing w:before="0"/>
        <w:ind w:left="1418" w:right="0"/>
        <w:jc w:val="both"/>
        <w:rPr>
          <w:sz w:val="22"/>
          <w:szCs w:val="22"/>
          <w:lang w:val="es-ES_tradnl"/>
        </w:rPr>
      </w:pPr>
    </w:p>
    <w:p w14:paraId="0455B461" w14:textId="77777777" w:rsidR="00557EAC" w:rsidRPr="00557EAC" w:rsidRDefault="00557EAC" w:rsidP="00557EAC">
      <w:pPr>
        <w:pStyle w:val="Blockquote"/>
        <w:spacing w:before="0"/>
        <w:ind w:left="1418" w:right="0"/>
        <w:jc w:val="both"/>
        <w:rPr>
          <w:sz w:val="22"/>
          <w:szCs w:val="22"/>
          <w:lang w:val="es-ES_tradnl"/>
        </w:rPr>
      </w:pPr>
    </w:p>
    <w:p w14:paraId="59B68500" w14:textId="77777777" w:rsidR="00557EAC" w:rsidRPr="00557EAC" w:rsidRDefault="00557EAC" w:rsidP="00557EAC">
      <w:pPr>
        <w:pStyle w:val="Blockquote"/>
        <w:numPr>
          <w:ilvl w:val="0"/>
          <w:numId w:val="49"/>
        </w:numPr>
        <w:tabs>
          <w:tab w:val="left" w:pos="851"/>
        </w:tabs>
        <w:ind w:left="851" w:right="0" w:hanging="357"/>
        <w:jc w:val="both"/>
        <w:rPr>
          <w:sz w:val="22"/>
          <w:szCs w:val="22"/>
          <w:lang w:val="en-GB"/>
        </w:rPr>
      </w:pPr>
      <w:r w:rsidRPr="00B33EE6">
        <w:rPr>
          <w:b/>
          <w:sz w:val="22"/>
          <w:szCs w:val="22"/>
          <w:u w:val="single"/>
          <w:lang w:val="en-GB"/>
        </w:rPr>
        <w:lastRenderedPageBreak/>
        <w:t>Professional capacity of the tenderer (</w:t>
      </w:r>
      <w:r w:rsidRPr="00B33EE6">
        <w:rPr>
          <w:sz w:val="22"/>
          <w:szCs w:val="22"/>
          <w:lang w:val="en-GB"/>
        </w:rPr>
        <w:t xml:space="preserve">based on items 4 </w:t>
      </w:r>
      <w:r>
        <w:rPr>
          <w:sz w:val="22"/>
          <w:szCs w:val="22"/>
          <w:lang w:val="en-GB"/>
        </w:rPr>
        <w:t xml:space="preserve">and 5 </w:t>
      </w:r>
      <w:r w:rsidRPr="00B33EE6">
        <w:rPr>
          <w:sz w:val="22"/>
          <w:szCs w:val="22"/>
          <w:lang w:val="en-GB"/>
        </w:rPr>
        <w:t>of the tender form).</w:t>
      </w:r>
    </w:p>
    <w:p w14:paraId="4A193D0C" w14:textId="77777777" w:rsidR="00557EAC" w:rsidRDefault="00557EAC" w:rsidP="00557EAC">
      <w:pPr>
        <w:pStyle w:val="Blockquote"/>
        <w:ind w:left="851" w:right="0" w:hanging="6"/>
        <w:jc w:val="both"/>
        <w:rPr>
          <w:b/>
          <w:bCs/>
          <w:sz w:val="22"/>
          <w:szCs w:val="22"/>
          <w:lang w:val="en-GB"/>
        </w:rPr>
      </w:pPr>
      <w:r w:rsidRPr="00B33EE6">
        <w:rPr>
          <w:sz w:val="22"/>
          <w:szCs w:val="22"/>
          <w:lang w:val="en-GB"/>
        </w:rPr>
        <w:t xml:space="preserve">The reference period which will be taken into account will be </w:t>
      </w:r>
      <w:r w:rsidRPr="00371C5B">
        <w:rPr>
          <w:b/>
          <w:bCs/>
          <w:sz w:val="22"/>
          <w:szCs w:val="22"/>
          <w:lang w:val="en-GB"/>
        </w:rPr>
        <w:t>the last three years preceding the submission deadline.</w:t>
      </w:r>
    </w:p>
    <w:p w14:paraId="4547CC5A" w14:textId="77777777" w:rsidR="00557EAC" w:rsidRDefault="00557EAC" w:rsidP="00557EAC">
      <w:pPr>
        <w:pBdr>
          <w:top w:val="nil"/>
          <w:left w:val="nil"/>
          <w:bottom w:val="nil"/>
          <w:right w:val="nil"/>
          <w:between w:val="nil"/>
        </w:pBdr>
        <w:ind w:left="1134" w:right="360"/>
        <w:jc w:val="both"/>
        <w:rPr>
          <w:color w:val="000000"/>
          <w:sz w:val="22"/>
          <w:szCs w:val="22"/>
        </w:rPr>
      </w:pPr>
      <w:r>
        <w:rPr>
          <w:color w:val="000000"/>
          <w:sz w:val="22"/>
          <w:szCs w:val="22"/>
          <w:u w:val="single"/>
        </w:rPr>
        <w:t xml:space="preserve">Criteria for legal persons: </w:t>
      </w:r>
    </w:p>
    <w:p w14:paraId="6E776E1C" w14:textId="77777777" w:rsidR="00557EAC" w:rsidRDefault="00557EAC" w:rsidP="00557EAC">
      <w:pPr>
        <w:numPr>
          <w:ilvl w:val="0"/>
          <w:numId w:val="47"/>
        </w:numPr>
        <w:pBdr>
          <w:top w:val="nil"/>
          <w:left w:val="nil"/>
          <w:bottom w:val="nil"/>
          <w:right w:val="nil"/>
          <w:between w:val="nil"/>
        </w:pBdr>
        <w:ind w:left="1560" w:hanging="284"/>
        <w:rPr>
          <w:color w:val="000000"/>
          <w:sz w:val="22"/>
          <w:szCs w:val="22"/>
        </w:rPr>
      </w:pPr>
      <w:r>
        <w:rPr>
          <w:color w:val="000000"/>
          <w:sz w:val="22"/>
          <w:szCs w:val="22"/>
        </w:rPr>
        <w:t xml:space="preserve">at least </w:t>
      </w:r>
      <w:r w:rsidRPr="0053521B">
        <w:rPr>
          <w:bCs/>
          <w:color w:val="000000"/>
          <w:sz w:val="22"/>
          <w:szCs w:val="22"/>
        </w:rPr>
        <w:t>1 staff currently</w:t>
      </w:r>
      <w:r>
        <w:rPr>
          <w:color w:val="000000"/>
          <w:sz w:val="22"/>
          <w:szCs w:val="22"/>
        </w:rPr>
        <w:t xml:space="preserve"> working for the tenderer in fields related to this contract; </w:t>
      </w:r>
    </w:p>
    <w:p w14:paraId="76C82B12" w14:textId="77777777" w:rsidR="00557EAC" w:rsidRDefault="00557EAC" w:rsidP="00557EAC">
      <w:pPr>
        <w:pBdr>
          <w:top w:val="nil"/>
          <w:left w:val="nil"/>
          <w:bottom w:val="nil"/>
          <w:right w:val="nil"/>
          <w:between w:val="nil"/>
        </w:pBdr>
        <w:ind w:left="1134" w:right="360"/>
        <w:rPr>
          <w:color w:val="000000"/>
          <w:sz w:val="22"/>
          <w:szCs w:val="22"/>
          <w:u w:val="single"/>
        </w:rPr>
      </w:pPr>
      <w:r>
        <w:rPr>
          <w:color w:val="000000"/>
          <w:sz w:val="22"/>
          <w:szCs w:val="22"/>
          <w:u w:val="single"/>
        </w:rPr>
        <w:t xml:space="preserve">Criteria for natural persons: </w:t>
      </w:r>
    </w:p>
    <w:p w14:paraId="782937F7" w14:textId="77777777" w:rsidR="00557EAC" w:rsidRPr="00557EAC" w:rsidRDefault="00557EAC" w:rsidP="00557EAC">
      <w:pPr>
        <w:numPr>
          <w:ilvl w:val="0"/>
          <w:numId w:val="47"/>
        </w:numPr>
        <w:pBdr>
          <w:top w:val="nil"/>
          <w:left w:val="nil"/>
          <w:bottom w:val="nil"/>
          <w:right w:val="nil"/>
          <w:between w:val="nil"/>
        </w:pBdr>
        <w:ind w:left="1276" w:hanging="6"/>
        <w:jc w:val="both"/>
        <w:rPr>
          <w:b/>
          <w:bCs/>
          <w:sz w:val="22"/>
          <w:szCs w:val="22"/>
          <w:lang w:val="en-GB"/>
        </w:rPr>
      </w:pPr>
      <w:r w:rsidRPr="00CD2962">
        <w:rPr>
          <w:color w:val="000000"/>
          <w:sz w:val="22"/>
          <w:szCs w:val="22"/>
        </w:rPr>
        <w:t>is currently working as manager/team-leader or collaborator in fields related to this contract.</w:t>
      </w:r>
    </w:p>
    <w:p w14:paraId="6054E442" w14:textId="77777777" w:rsidR="00557EAC" w:rsidRDefault="00557EAC" w:rsidP="00557EAC">
      <w:pPr>
        <w:pStyle w:val="Blockquote"/>
        <w:numPr>
          <w:ilvl w:val="0"/>
          <w:numId w:val="49"/>
        </w:numPr>
        <w:ind w:right="0" w:hanging="361"/>
        <w:jc w:val="both"/>
        <w:rPr>
          <w:sz w:val="22"/>
          <w:szCs w:val="22"/>
          <w:lang w:val="en-GB"/>
        </w:rPr>
      </w:pPr>
      <w:r w:rsidRPr="00B33EE6">
        <w:rPr>
          <w:b/>
          <w:sz w:val="22"/>
          <w:szCs w:val="22"/>
          <w:u w:val="single"/>
          <w:lang w:val="en-GB"/>
        </w:rPr>
        <w:t xml:space="preserve">Technical capacity of </w:t>
      </w:r>
      <w:r>
        <w:rPr>
          <w:b/>
          <w:sz w:val="22"/>
          <w:szCs w:val="22"/>
          <w:u w:val="single"/>
          <w:lang w:val="en-GB"/>
        </w:rPr>
        <w:t>tenderer</w:t>
      </w:r>
      <w:r w:rsidRPr="00B33EE6">
        <w:rPr>
          <w:b/>
          <w:sz w:val="22"/>
          <w:szCs w:val="22"/>
          <w:u w:val="single"/>
          <w:lang w:val="en-GB"/>
        </w:rPr>
        <w:t xml:space="preserve"> </w:t>
      </w:r>
      <w:r w:rsidRPr="00B33EE6">
        <w:rPr>
          <w:sz w:val="22"/>
          <w:szCs w:val="22"/>
          <w:lang w:val="en-GB"/>
        </w:rPr>
        <w:t xml:space="preserve">(based on items 6 of the tender form). The reference period which will be taken into account will be the last </w:t>
      </w:r>
      <w:r w:rsidRPr="000C34D9">
        <w:rPr>
          <w:sz w:val="22"/>
          <w:szCs w:val="22"/>
          <w:lang w:val="en-GB"/>
        </w:rPr>
        <w:t>three years</w:t>
      </w:r>
      <w:r w:rsidRPr="00A046E7">
        <w:rPr>
          <w:sz w:val="22"/>
          <w:szCs w:val="22"/>
          <w:lang w:val="en-GB"/>
        </w:rPr>
        <w:t xml:space="preserve"> </w:t>
      </w:r>
      <w:r>
        <w:rPr>
          <w:sz w:val="22"/>
          <w:szCs w:val="22"/>
          <w:lang w:val="en-GB"/>
        </w:rPr>
        <w:t>preceding the</w:t>
      </w:r>
      <w:r w:rsidRPr="00B33EE6">
        <w:rPr>
          <w:sz w:val="22"/>
          <w:szCs w:val="22"/>
          <w:lang w:val="en-GB"/>
        </w:rPr>
        <w:t xml:space="preserve"> submission deadline.</w:t>
      </w:r>
    </w:p>
    <w:p w14:paraId="33C5969D" w14:textId="77777777" w:rsidR="00557EAC" w:rsidRPr="00B33EE6" w:rsidRDefault="00557EAC" w:rsidP="00557EAC">
      <w:pPr>
        <w:pStyle w:val="Blockquote"/>
        <w:tabs>
          <w:tab w:val="left" w:pos="284"/>
        </w:tabs>
        <w:ind w:left="851"/>
        <w:jc w:val="both"/>
        <w:rPr>
          <w:sz w:val="22"/>
          <w:szCs w:val="22"/>
          <w:lang w:val="en-GB"/>
        </w:rPr>
      </w:pPr>
      <w:r w:rsidRPr="000211D6">
        <w:rPr>
          <w:sz w:val="22"/>
          <w:szCs w:val="22"/>
        </w:rPr>
        <w:t>Technical criterion for legal and natural persons:</w:t>
      </w:r>
    </w:p>
    <w:p w14:paraId="3E2FC852" w14:textId="291D781A" w:rsidR="00557EAC" w:rsidRPr="00892B78" w:rsidRDefault="00557EAC" w:rsidP="00557EAC">
      <w:pPr>
        <w:pStyle w:val="Blockquote"/>
        <w:numPr>
          <w:ilvl w:val="0"/>
          <w:numId w:val="48"/>
        </w:numPr>
        <w:tabs>
          <w:tab w:val="left" w:pos="993"/>
        </w:tabs>
        <w:ind w:left="1276" w:right="0" w:firstLine="0"/>
        <w:jc w:val="both"/>
        <w:rPr>
          <w:sz w:val="22"/>
          <w:szCs w:val="22"/>
          <w:lang w:val="en-GB"/>
        </w:rPr>
      </w:pPr>
      <w:r w:rsidRPr="00892B78">
        <w:rPr>
          <w:sz w:val="22"/>
          <w:szCs w:val="22"/>
          <w:lang w:val="en-GB"/>
        </w:rPr>
        <w:t>the tenderer has delivered supplies under at least 1 (one) contract   with a budget of at least that of this contract in similar fields which was implemented at any moment during the following period: 3 years from the submission deadline.</w:t>
      </w:r>
      <w:r w:rsidRPr="00892B78">
        <w:rPr>
          <w:b/>
          <w:bCs/>
          <w:sz w:val="22"/>
          <w:szCs w:val="22"/>
          <w:lang w:val="en-GB"/>
        </w:rPr>
        <w:t xml:space="preserve"> </w:t>
      </w:r>
      <w:r w:rsidR="00F7260A">
        <w:rPr>
          <w:b/>
          <w:bCs/>
          <w:sz w:val="22"/>
          <w:szCs w:val="22"/>
          <w:lang w:val="en-GB"/>
        </w:rPr>
        <w:t>2</w:t>
      </w:r>
      <w:r w:rsidR="004B2366">
        <w:rPr>
          <w:b/>
          <w:bCs/>
          <w:sz w:val="22"/>
          <w:szCs w:val="22"/>
          <w:lang w:val="en-GB"/>
        </w:rPr>
        <w:t>2</w:t>
      </w:r>
      <w:r w:rsidR="00F7260A" w:rsidRPr="00892B78">
        <w:rPr>
          <w:b/>
          <w:bCs/>
          <w:sz w:val="22"/>
          <w:szCs w:val="22"/>
          <w:lang w:val="en-GB"/>
        </w:rPr>
        <w:t>.1</w:t>
      </w:r>
      <w:r w:rsidR="00F7260A">
        <w:rPr>
          <w:b/>
          <w:bCs/>
          <w:sz w:val="22"/>
          <w:szCs w:val="22"/>
          <w:lang w:val="en-GB"/>
        </w:rPr>
        <w:t>2</w:t>
      </w:r>
      <w:r w:rsidR="00F7260A" w:rsidRPr="00892B78">
        <w:rPr>
          <w:b/>
          <w:bCs/>
          <w:sz w:val="22"/>
          <w:szCs w:val="22"/>
          <w:lang w:val="en-GB"/>
        </w:rPr>
        <w:t>.2022-</w:t>
      </w:r>
      <w:r w:rsidR="00F7260A">
        <w:rPr>
          <w:b/>
          <w:bCs/>
          <w:sz w:val="22"/>
          <w:szCs w:val="22"/>
          <w:lang w:val="en-GB"/>
        </w:rPr>
        <w:t>2</w:t>
      </w:r>
      <w:r w:rsidR="004B2366">
        <w:rPr>
          <w:b/>
          <w:bCs/>
          <w:sz w:val="22"/>
          <w:szCs w:val="22"/>
          <w:lang w:val="en-GB"/>
        </w:rPr>
        <w:t>2</w:t>
      </w:r>
      <w:r w:rsidR="00F7260A" w:rsidRPr="00892B78">
        <w:rPr>
          <w:b/>
          <w:bCs/>
          <w:sz w:val="22"/>
          <w:szCs w:val="22"/>
          <w:lang w:val="en-GB"/>
        </w:rPr>
        <w:t>.1</w:t>
      </w:r>
      <w:r w:rsidR="00F7260A">
        <w:rPr>
          <w:b/>
          <w:bCs/>
          <w:sz w:val="22"/>
          <w:szCs w:val="22"/>
          <w:lang w:val="en-GB"/>
        </w:rPr>
        <w:t>2</w:t>
      </w:r>
      <w:r w:rsidR="00F7260A" w:rsidRPr="00892B78">
        <w:rPr>
          <w:b/>
          <w:bCs/>
          <w:sz w:val="22"/>
          <w:szCs w:val="22"/>
          <w:lang w:val="en-GB"/>
        </w:rPr>
        <w:t>.2025</w:t>
      </w:r>
    </w:p>
    <w:p w14:paraId="43ECDFD7" w14:textId="77777777" w:rsidR="00A37271" w:rsidRDefault="00A37271" w:rsidP="00A37271">
      <w:pPr>
        <w:pStyle w:val="Blockquote"/>
        <w:tabs>
          <w:tab w:val="left" w:pos="851"/>
        </w:tabs>
        <w:ind w:left="717" w:right="0"/>
        <w:jc w:val="both"/>
        <w:rPr>
          <w:b/>
          <w:bCs/>
          <w:sz w:val="22"/>
          <w:szCs w:val="22"/>
          <w:u w:val="single"/>
          <w:lang w:val="en-GB"/>
        </w:rPr>
      </w:pPr>
    </w:p>
    <w:p w14:paraId="406128D9" w14:textId="6CD38E9C" w:rsidR="00A37271" w:rsidRPr="00557EAC" w:rsidRDefault="00A37271" w:rsidP="00557EAC">
      <w:pPr>
        <w:pStyle w:val="Blockquote"/>
        <w:ind w:right="0"/>
        <w:jc w:val="both"/>
        <w:rPr>
          <w:b/>
          <w:bCs/>
          <w:sz w:val="22"/>
          <w:szCs w:val="22"/>
          <w:u w:val="single"/>
        </w:rPr>
      </w:pPr>
      <w:r w:rsidRPr="00943C70">
        <w:rPr>
          <w:b/>
          <w:bCs/>
          <w:sz w:val="22"/>
          <w:szCs w:val="22"/>
          <w:u w:val="single"/>
        </w:rPr>
        <w:t xml:space="preserve">The selection criteria for tenderers to Lot no </w:t>
      </w:r>
      <w:r w:rsidR="00557EAC">
        <w:rPr>
          <w:b/>
          <w:bCs/>
          <w:sz w:val="22"/>
          <w:szCs w:val="22"/>
          <w:u w:val="single"/>
        </w:rPr>
        <w:t>3</w:t>
      </w:r>
      <w:r w:rsidRPr="00943C70">
        <w:rPr>
          <w:b/>
          <w:bCs/>
          <w:sz w:val="22"/>
          <w:szCs w:val="22"/>
          <w:u w:val="single"/>
        </w:rPr>
        <w:t xml:space="preserve"> </w:t>
      </w:r>
      <w:r>
        <w:rPr>
          <w:b/>
          <w:bCs/>
          <w:sz w:val="22"/>
          <w:szCs w:val="22"/>
          <w:u w:val="single"/>
        </w:rPr>
        <w:t>are as</w:t>
      </w:r>
      <w:r w:rsidRPr="00943C70">
        <w:rPr>
          <w:b/>
          <w:bCs/>
          <w:sz w:val="22"/>
          <w:szCs w:val="22"/>
          <w:u w:val="single"/>
        </w:rPr>
        <w:t xml:space="preserve"> follow</w:t>
      </w:r>
      <w:r>
        <w:rPr>
          <w:b/>
          <w:bCs/>
          <w:sz w:val="22"/>
          <w:szCs w:val="22"/>
          <w:u w:val="single"/>
        </w:rPr>
        <w:t>s</w:t>
      </w:r>
      <w:r w:rsidRPr="00943C70">
        <w:rPr>
          <w:b/>
          <w:bCs/>
          <w:sz w:val="22"/>
          <w:szCs w:val="22"/>
          <w:u w:val="single"/>
        </w:rPr>
        <w:t>:</w:t>
      </w:r>
    </w:p>
    <w:p w14:paraId="6A68D9C8" w14:textId="7B6FD936" w:rsidR="00A37271" w:rsidRDefault="00A37271" w:rsidP="00557EAC">
      <w:pPr>
        <w:pStyle w:val="Blockquote"/>
        <w:tabs>
          <w:tab w:val="left" w:pos="851"/>
        </w:tabs>
        <w:ind w:right="0"/>
        <w:jc w:val="both"/>
        <w:rPr>
          <w:b/>
          <w:bCs/>
          <w:sz w:val="22"/>
          <w:szCs w:val="22"/>
          <w:u w:val="single"/>
          <w:lang w:val="en-GB"/>
        </w:rPr>
      </w:pPr>
      <w:r>
        <w:rPr>
          <w:b/>
          <w:bCs/>
          <w:sz w:val="22"/>
          <w:szCs w:val="22"/>
          <w:u w:val="single"/>
          <w:lang w:val="en-GB"/>
        </w:rPr>
        <w:t xml:space="preserve">LOT 3: </w:t>
      </w:r>
      <w:r w:rsidRPr="00A37271">
        <w:rPr>
          <w:b/>
          <w:bCs/>
          <w:sz w:val="22"/>
          <w:szCs w:val="22"/>
          <w:u w:val="single"/>
          <w:lang w:val="en-GB"/>
        </w:rPr>
        <w:t>Energy efficiency measures in the kitchen</w:t>
      </w:r>
    </w:p>
    <w:p w14:paraId="703D590B" w14:textId="77777777" w:rsidR="00557EAC" w:rsidRPr="00557EAC" w:rsidRDefault="00557EAC" w:rsidP="00557EAC">
      <w:pPr>
        <w:pStyle w:val="Blockquote"/>
        <w:numPr>
          <w:ilvl w:val="0"/>
          <w:numId w:val="50"/>
        </w:numPr>
        <w:tabs>
          <w:tab w:val="left" w:pos="851"/>
        </w:tabs>
        <w:ind w:right="0"/>
        <w:jc w:val="both"/>
        <w:rPr>
          <w:sz w:val="22"/>
          <w:szCs w:val="22"/>
          <w:lang w:val="en-GB"/>
        </w:rPr>
      </w:pPr>
      <w:r w:rsidRPr="00B33EE6">
        <w:rPr>
          <w:b/>
          <w:sz w:val="22"/>
          <w:szCs w:val="22"/>
          <w:u w:val="single"/>
          <w:lang w:val="en-GB"/>
        </w:rPr>
        <w:t>Economic and financial capacity of the tenderer</w:t>
      </w:r>
      <w:r w:rsidRPr="00B33EE6">
        <w:rPr>
          <w:b/>
          <w:sz w:val="22"/>
          <w:szCs w:val="22"/>
          <w:lang w:val="en-GB"/>
        </w:rPr>
        <w:t xml:space="preserve"> (</w:t>
      </w:r>
      <w:r w:rsidRPr="00B33EE6">
        <w:rPr>
          <w:sz w:val="22"/>
          <w:szCs w:val="22"/>
          <w:lang w:val="en-GB"/>
        </w:rPr>
        <w:t xml:space="preserve">based on item 3 of the tender form). In case of tenderer being a public body, equivalent information should be provided. The reference period which will be taken into account will be </w:t>
      </w:r>
      <w:r w:rsidRPr="00371C5B">
        <w:rPr>
          <w:b/>
          <w:bCs/>
          <w:sz w:val="22"/>
          <w:szCs w:val="22"/>
          <w:lang w:val="en-GB"/>
        </w:rPr>
        <w:t>the last three financial years for which accounts have been closed.</w:t>
      </w:r>
    </w:p>
    <w:p w14:paraId="7C8DEB89" w14:textId="77777777" w:rsidR="00557EAC" w:rsidRPr="00557EAC" w:rsidRDefault="00557EAC" w:rsidP="00557EAC">
      <w:pPr>
        <w:pStyle w:val="Blockquote"/>
        <w:numPr>
          <w:ilvl w:val="0"/>
          <w:numId w:val="48"/>
        </w:numPr>
        <w:spacing w:before="0"/>
        <w:ind w:left="1418" w:right="0"/>
        <w:jc w:val="both"/>
        <w:rPr>
          <w:sz w:val="22"/>
          <w:szCs w:val="22"/>
          <w:lang w:val="es-ES_tradnl"/>
        </w:rPr>
      </w:pPr>
      <w:r w:rsidRPr="006A0B8B">
        <w:rPr>
          <w:sz w:val="22"/>
          <w:szCs w:val="22"/>
          <w:lang w:val="es-ES_tradnl"/>
        </w:rPr>
        <w:t xml:space="preserve">the average annual turnover of the tenderer over past three years must </w:t>
      </w:r>
      <w:r>
        <w:rPr>
          <w:sz w:val="22"/>
          <w:szCs w:val="22"/>
          <w:lang w:val="es-ES_tradnl"/>
        </w:rPr>
        <w:t xml:space="preserve">be equal or </w:t>
      </w:r>
      <w:r w:rsidRPr="006A0B8B">
        <w:rPr>
          <w:sz w:val="22"/>
          <w:szCs w:val="22"/>
          <w:lang w:val="es-ES_tradnl"/>
        </w:rPr>
        <w:t>exceed the value of the Tenderer’s Financial offer.</w:t>
      </w:r>
    </w:p>
    <w:p w14:paraId="6B91E060" w14:textId="77777777" w:rsidR="00557EAC" w:rsidRPr="00557EAC" w:rsidRDefault="00557EAC" w:rsidP="00557EAC">
      <w:pPr>
        <w:pStyle w:val="Blockquote"/>
        <w:numPr>
          <w:ilvl w:val="0"/>
          <w:numId w:val="50"/>
        </w:numPr>
        <w:tabs>
          <w:tab w:val="left" w:pos="851"/>
        </w:tabs>
        <w:ind w:left="851" w:right="0" w:hanging="357"/>
        <w:jc w:val="both"/>
        <w:rPr>
          <w:sz w:val="22"/>
          <w:szCs w:val="22"/>
          <w:lang w:val="en-GB"/>
        </w:rPr>
      </w:pPr>
      <w:r w:rsidRPr="00B33EE6">
        <w:rPr>
          <w:b/>
          <w:sz w:val="22"/>
          <w:szCs w:val="22"/>
          <w:u w:val="single"/>
          <w:lang w:val="en-GB"/>
        </w:rPr>
        <w:t>Professional capacity of the tenderer (</w:t>
      </w:r>
      <w:r w:rsidRPr="00B33EE6">
        <w:rPr>
          <w:sz w:val="22"/>
          <w:szCs w:val="22"/>
          <w:lang w:val="en-GB"/>
        </w:rPr>
        <w:t xml:space="preserve">based on items 4 </w:t>
      </w:r>
      <w:r>
        <w:rPr>
          <w:sz w:val="22"/>
          <w:szCs w:val="22"/>
          <w:lang w:val="en-GB"/>
        </w:rPr>
        <w:t xml:space="preserve">and 5 </w:t>
      </w:r>
      <w:r w:rsidRPr="00B33EE6">
        <w:rPr>
          <w:sz w:val="22"/>
          <w:szCs w:val="22"/>
          <w:lang w:val="en-GB"/>
        </w:rPr>
        <w:t>of the tender form).</w:t>
      </w:r>
    </w:p>
    <w:p w14:paraId="5659BB95" w14:textId="77777777" w:rsidR="00557EAC" w:rsidRDefault="00557EAC" w:rsidP="00557EAC">
      <w:pPr>
        <w:pStyle w:val="Blockquote"/>
        <w:ind w:left="851" w:right="0" w:hanging="6"/>
        <w:jc w:val="both"/>
        <w:rPr>
          <w:b/>
          <w:bCs/>
          <w:sz w:val="22"/>
          <w:szCs w:val="22"/>
          <w:lang w:val="en-GB"/>
        </w:rPr>
      </w:pPr>
      <w:r w:rsidRPr="00B33EE6">
        <w:rPr>
          <w:sz w:val="22"/>
          <w:szCs w:val="22"/>
          <w:lang w:val="en-GB"/>
        </w:rPr>
        <w:t xml:space="preserve">The reference period which will be taken into account will be </w:t>
      </w:r>
      <w:r w:rsidRPr="00371C5B">
        <w:rPr>
          <w:b/>
          <w:bCs/>
          <w:sz w:val="22"/>
          <w:szCs w:val="22"/>
          <w:lang w:val="en-GB"/>
        </w:rPr>
        <w:t>the last three years preceding the submission deadline.</w:t>
      </w:r>
    </w:p>
    <w:p w14:paraId="4B7E34F2" w14:textId="77777777" w:rsidR="00557EAC" w:rsidRDefault="00557EAC" w:rsidP="00557EAC">
      <w:pPr>
        <w:pBdr>
          <w:top w:val="nil"/>
          <w:left w:val="nil"/>
          <w:bottom w:val="nil"/>
          <w:right w:val="nil"/>
          <w:between w:val="nil"/>
        </w:pBdr>
        <w:ind w:left="1134" w:right="360"/>
        <w:jc w:val="both"/>
        <w:rPr>
          <w:color w:val="000000"/>
          <w:sz w:val="22"/>
          <w:szCs w:val="22"/>
        </w:rPr>
      </w:pPr>
      <w:r>
        <w:rPr>
          <w:color w:val="000000"/>
          <w:sz w:val="22"/>
          <w:szCs w:val="22"/>
          <w:u w:val="single"/>
        </w:rPr>
        <w:t xml:space="preserve">Criteria for legal persons: </w:t>
      </w:r>
    </w:p>
    <w:p w14:paraId="43C1FE62" w14:textId="77777777" w:rsidR="00557EAC" w:rsidRDefault="00557EAC" w:rsidP="00557EAC">
      <w:pPr>
        <w:numPr>
          <w:ilvl w:val="0"/>
          <w:numId w:val="47"/>
        </w:numPr>
        <w:pBdr>
          <w:top w:val="nil"/>
          <w:left w:val="nil"/>
          <w:bottom w:val="nil"/>
          <w:right w:val="nil"/>
          <w:between w:val="nil"/>
        </w:pBdr>
        <w:ind w:left="1560" w:hanging="284"/>
        <w:rPr>
          <w:color w:val="000000"/>
          <w:sz w:val="22"/>
          <w:szCs w:val="22"/>
        </w:rPr>
      </w:pPr>
      <w:r>
        <w:rPr>
          <w:color w:val="000000"/>
          <w:sz w:val="22"/>
          <w:szCs w:val="22"/>
        </w:rPr>
        <w:t xml:space="preserve">at least </w:t>
      </w:r>
      <w:r w:rsidRPr="0053521B">
        <w:rPr>
          <w:bCs/>
          <w:color w:val="000000"/>
          <w:sz w:val="22"/>
          <w:szCs w:val="22"/>
        </w:rPr>
        <w:t>1 staff currently</w:t>
      </w:r>
      <w:r>
        <w:rPr>
          <w:color w:val="000000"/>
          <w:sz w:val="22"/>
          <w:szCs w:val="22"/>
        </w:rPr>
        <w:t xml:space="preserve"> working for the tenderer in fields related to this contract; </w:t>
      </w:r>
    </w:p>
    <w:p w14:paraId="0448C09C" w14:textId="77777777" w:rsidR="00557EAC" w:rsidRDefault="00557EAC" w:rsidP="00557EAC">
      <w:pPr>
        <w:pBdr>
          <w:top w:val="nil"/>
          <w:left w:val="nil"/>
          <w:bottom w:val="nil"/>
          <w:right w:val="nil"/>
          <w:between w:val="nil"/>
        </w:pBdr>
        <w:ind w:left="1134" w:right="360"/>
        <w:rPr>
          <w:color w:val="000000"/>
          <w:sz w:val="22"/>
          <w:szCs w:val="22"/>
          <w:u w:val="single"/>
        </w:rPr>
      </w:pPr>
      <w:r>
        <w:rPr>
          <w:color w:val="000000"/>
          <w:sz w:val="22"/>
          <w:szCs w:val="22"/>
          <w:u w:val="single"/>
        </w:rPr>
        <w:t xml:space="preserve">Criteria for natural persons: </w:t>
      </w:r>
    </w:p>
    <w:p w14:paraId="7611CD53" w14:textId="77777777" w:rsidR="00557EAC" w:rsidRPr="00557EAC" w:rsidRDefault="00557EAC" w:rsidP="00557EAC">
      <w:pPr>
        <w:numPr>
          <w:ilvl w:val="0"/>
          <w:numId w:val="47"/>
        </w:numPr>
        <w:pBdr>
          <w:top w:val="nil"/>
          <w:left w:val="nil"/>
          <w:bottom w:val="nil"/>
          <w:right w:val="nil"/>
          <w:between w:val="nil"/>
        </w:pBdr>
        <w:ind w:left="1276" w:hanging="6"/>
        <w:jc w:val="both"/>
        <w:rPr>
          <w:b/>
          <w:bCs/>
          <w:sz w:val="22"/>
          <w:szCs w:val="22"/>
          <w:lang w:val="en-GB"/>
        </w:rPr>
      </w:pPr>
      <w:r w:rsidRPr="00CD2962">
        <w:rPr>
          <w:color w:val="000000"/>
          <w:sz w:val="22"/>
          <w:szCs w:val="22"/>
        </w:rPr>
        <w:t>is currently working as manager/team-leader or collaborator in fields related to this contract.</w:t>
      </w:r>
    </w:p>
    <w:p w14:paraId="792052C5" w14:textId="77777777" w:rsidR="00557EAC" w:rsidRDefault="00557EAC" w:rsidP="00557EAC">
      <w:pPr>
        <w:pBdr>
          <w:top w:val="nil"/>
          <w:left w:val="nil"/>
          <w:bottom w:val="nil"/>
          <w:right w:val="nil"/>
          <w:between w:val="nil"/>
        </w:pBdr>
        <w:jc w:val="both"/>
        <w:rPr>
          <w:color w:val="000000"/>
          <w:sz w:val="22"/>
          <w:szCs w:val="22"/>
        </w:rPr>
      </w:pPr>
    </w:p>
    <w:p w14:paraId="61244383" w14:textId="77777777" w:rsidR="00557EAC" w:rsidRPr="00557EAC" w:rsidRDefault="00557EAC" w:rsidP="00557EAC">
      <w:pPr>
        <w:pBdr>
          <w:top w:val="nil"/>
          <w:left w:val="nil"/>
          <w:bottom w:val="nil"/>
          <w:right w:val="nil"/>
          <w:between w:val="nil"/>
        </w:pBdr>
        <w:jc w:val="both"/>
        <w:rPr>
          <w:b/>
          <w:bCs/>
          <w:sz w:val="22"/>
          <w:szCs w:val="22"/>
          <w:lang w:val="en-GB"/>
        </w:rPr>
      </w:pPr>
    </w:p>
    <w:p w14:paraId="23FEF33F" w14:textId="77777777" w:rsidR="00557EAC" w:rsidRDefault="00557EAC" w:rsidP="00557EAC">
      <w:pPr>
        <w:pStyle w:val="Blockquote"/>
        <w:numPr>
          <w:ilvl w:val="0"/>
          <w:numId w:val="50"/>
        </w:numPr>
        <w:ind w:right="0" w:hanging="361"/>
        <w:jc w:val="both"/>
        <w:rPr>
          <w:sz w:val="22"/>
          <w:szCs w:val="22"/>
          <w:lang w:val="en-GB"/>
        </w:rPr>
      </w:pPr>
      <w:r w:rsidRPr="00B33EE6">
        <w:rPr>
          <w:b/>
          <w:sz w:val="22"/>
          <w:szCs w:val="22"/>
          <w:u w:val="single"/>
          <w:lang w:val="en-GB"/>
        </w:rPr>
        <w:lastRenderedPageBreak/>
        <w:t xml:space="preserve">Technical capacity of </w:t>
      </w:r>
      <w:r>
        <w:rPr>
          <w:b/>
          <w:sz w:val="22"/>
          <w:szCs w:val="22"/>
          <w:u w:val="single"/>
          <w:lang w:val="en-GB"/>
        </w:rPr>
        <w:t>tenderer</w:t>
      </w:r>
      <w:r w:rsidRPr="00B33EE6">
        <w:rPr>
          <w:b/>
          <w:sz w:val="22"/>
          <w:szCs w:val="22"/>
          <w:u w:val="single"/>
          <w:lang w:val="en-GB"/>
        </w:rPr>
        <w:t xml:space="preserve"> </w:t>
      </w:r>
      <w:r w:rsidRPr="00B33EE6">
        <w:rPr>
          <w:sz w:val="22"/>
          <w:szCs w:val="22"/>
          <w:lang w:val="en-GB"/>
        </w:rPr>
        <w:t xml:space="preserve">(based on items 6 of the tender form). The reference period which will be taken into account will be the last </w:t>
      </w:r>
      <w:r w:rsidRPr="000C34D9">
        <w:rPr>
          <w:sz w:val="22"/>
          <w:szCs w:val="22"/>
          <w:lang w:val="en-GB"/>
        </w:rPr>
        <w:t>three years</w:t>
      </w:r>
      <w:r w:rsidRPr="00A046E7">
        <w:rPr>
          <w:sz w:val="22"/>
          <w:szCs w:val="22"/>
          <w:lang w:val="en-GB"/>
        </w:rPr>
        <w:t xml:space="preserve"> </w:t>
      </w:r>
      <w:r>
        <w:rPr>
          <w:sz w:val="22"/>
          <w:szCs w:val="22"/>
          <w:lang w:val="en-GB"/>
        </w:rPr>
        <w:t>preceding the</w:t>
      </w:r>
      <w:r w:rsidRPr="00B33EE6">
        <w:rPr>
          <w:sz w:val="22"/>
          <w:szCs w:val="22"/>
          <w:lang w:val="en-GB"/>
        </w:rPr>
        <w:t xml:space="preserve"> submission deadline.</w:t>
      </w:r>
    </w:p>
    <w:p w14:paraId="06C688BD" w14:textId="77777777" w:rsidR="00557EAC" w:rsidRPr="00B33EE6" w:rsidRDefault="00557EAC" w:rsidP="00557EAC">
      <w:pPr>
        <w:pStyle w:val="Blockquote"/>
        <w:tabs>
          <w:tab w:val="left" w:pos="284"/>
        </w:tabs>
        <w:ind w:left="851"/>
        <w:jc w:val="both"/>
        <w:rPr>
          <w:sz w:val="22"/>
          <w:szCs w:val="22"/>
          <w:lang w:val="en-GB"/>
        </w:rPr>
      </w:pPr>
      <w:r w:rsidRPr="000211D6">
        <w:rPr>
          <w:sz w:val="22"/>
          <w:szCs w:val="22"/>
        </w:rPr>
        <w:t>Technical criterion for legal and natural persons:</w:t>
      </w:r>
    </w:p>
    <w:p w14:paraId="79AFA487" w14:textId="4466ED9D" w:rsidR="00557EAC" w:rsidRPr="00557EAC" w:rsidRDefault="00557EAC" w:rsidP="00557EAC">
      <w:pPr>
        <w:pStyle w:val="Blockquote"/>
        <w:numPr>
          <w:ilvl w:val="0"/>
          <w:numId w:val="48"/>
        </w:numPr>
        <w:tabs>
          <w:tab w:val="left" w:pos="993"/>
        </w:tabs>
        <w:ind w:left="1276" w:right="0" w:firstLine="0"/>
        <w:jc w:val="both"/>
        <w:rPr>
          <w:sz w:val="22"/>
          <w:szCs w:val="22"/>
          <w:lang w:val="en-GB"/>
        </w:rPr>
      </w:pPr>
      <w:r w:rsidRPr="00892B78">
        <w:rPr>
          <w:sz w:val="22"/>
          <w:szCs w:val="22"/>
          <w:lang w:val="en-GB"/>
        </w:rPr>
        <w:t>the tenderer has delivered supplies under at least 1 (one) contract   with a budget of at least that of this contract in similar fields which was implemented at any moment during the following period: 3 years from the submission deadline.</w:t>
      </w:r>
      <w:r w:rsidRPr="00892B78">
        <w:rPr>
          <w:b/>
          <w:bCs/>
          <w:sz w:val="22"/>
          <w:szCs w:val="22"/>
          <w:lang w:val="en-GB"/>
        </w:rPr>
        <w:t xml:space="preserve"> </w:t>
      </w:r>
      <w:r w:rsidR="00F7260A">
        <w:rPr>
          <w:b/>
          <w:bCs/>
          <w:sz w:val="22"/>
          <w:szCs w:val="22"/>
          <w:lang w:val="en-GB"/>
        </w:rPr>
        <w:t>2</w:t>
      </w:r>
      <w:r w:rsidR="004B2366">
        <w:rPr>
          <w:b/>
          <w:bCs/>
          <w:sz w:val="22"/>
          <w:szCs w:val="22"/>
          <w:lang w:val="en-GB"/>
        </w:rPr>
        <w:t>2</w:t>
      </w:r>
      <w:r w:rsidR="00F7260A" w:rsidRPr="00892B78">
        <w:rPr>
          <w:b/>
          <w:bCs/>
          <w:sz w:val="22"/>
          <w:szCs w:val="22"/>
          <w:lang w:val="en-GB"/>
        </w:rPr>
        <w:t>.1</w:t>
      </w:r>
      <w:r w:rsidR="00F7260A">
        <w:rPr>
          <w:b/>
          <w:bCs/>
          <w:sz w:val="22"/>
          <w:szCs w:val="22"/>
          <w:lang w:val="en-GB"/>
        </w:rPr>
        <w:t>2</w:t>
      </w:r>
      <w:r w:rsidR="00F7260A" w:rsidRPr="00892B78">
        <w:rPr>
          <w:b/>
          <w:bCs/>
          <w:sz w:val="22"/>
          <w:szCs w:val="22"/>
          <w:lang w:val="en-GB"/>
        </w:rPr>
        <w:t>.2022-</w:t>
      </w:r>
      <w:r w:rsidR="00F7260A">
        <w:rPr>
          <w:b/>
          <w:bCs/>
          <w:sz w:val="22"/>
          <w:szCs w:val="22"/>
          <w:lang w:val="en-GB"/>
        </w:rPr>
        <w:t>2</w:t>
      </w:r>
      <w:r w:rsidR="004B2366">
        <w:rPr>
          <w:b/>
          <w:bCs/>
          <w:sz w:val="22"/>
          <w:szCs w:val="22"/>
          <w:lang w:val="en-GB"/>
        </w:rPr>
        <w:t>2</w:t>
      </w:r>
      <w:r w:rsidR="00F7260A" w:rsidRPr="00892B78">
        <w:rPr>
          <w:b/>
          <w:bCs/>
          <w:sz w:val="22"/>
          <w:szCs w:val="22"/>
          <w:lang w:val="en-GB"/>
        </w:rPr>
        <w:t>.1</w:t>
      </w:r>
      <w:r w:rsidR="00F7260A">
        <w:rPr>
          <w:b/>
          <w:bCs/>
          <w:sz w:val="22"/>
          <w:szCs w:val="22"/>
          <w:lang w:val="en-GB"/>
        </w:rPr>
        <w:t>2</w:t>
      </w:r>
      <w:r w:rsidR="00F7260A" w:rsidRPr="00892B78">
        <w:rPr>
          <w:b/>
          <w:bCs/>
          <w:sz w:val="22"/>
          <w:szCs w:val="22"/>
          <w:lang w:val="en-GB"/>
        </w:rPr>
        <w:t>.2025</w:t>
      </w:r>
    </w:p>
    <w:p w14:paraId="67053663" w14:textId="7624B7E4" w:rsidR="00CB2A5B" w:rsidRDefault="00CB2A5B" w:rsidP="00557EAC">
      <w:pPr>
        <w:pStyle w:val="Blockquote"/>
        <w:tabs>
          <w:tab w:val="left" w:pos="284"/>
        </w:tabs>
        <w:ind w:left="426" w:right="0"/>
        <w:jc w:val="both"/>
        <w:rPr>
          <w:sz w:val="22"/>
          <w:szCs w:val="22"/>
          <w:lang w:val="en-GB"/>
        </w:rPr>
      </w:pPr>
      <w:r w:rsidRPr="00CB2A5B">
        <w:rPr>
          <w:sz w:val="22"/>
          <w:szCs w:val="22"/>
          <w:lang w:val="en-GB"/>
        </w:rPr>
        <w:t xml:space="preserve">This means that the contract the tenderer refers to could have been </w:t>
      </w:r>
      <w:r w:rsidR="002065E9">
        <w:rPr>
          <w:sz w:val="22"/>
          <w:szCs w:val="22"/>
          <w:lang w:val="en-GB"/>
        </w:rPr>
        <w:t>implemented</w:t>
      </w:r>
      <w:r w:rsidR="002065E9" w:rsidRPr="00CB2A5B" w:rsidDel="002065E9">
        <w:rPr>
          <w:sz w:val="22"/>
          <w:szCs w:val="22"/>
          <w:lang w:val="en-GB"/>
        </w:rPr>
        <w:t xml:space="preserve"> </w:t>
      </w:r>
      <w:r w:rsidRPr="00CB2A5B">
        <w:rPr>
          <w:sz w:val="22"/>
          <w:szCs w:val="22"/>
          <w:lang w:val="en-GB"/>
        </w:rPr>
        <w:t xml:space="preserve">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w:t>
      </w:r>
      <w:r w:rsidR="002065E9" w:rsidRPr="002065E9">
        <w:rPr>
          <w:sz w:val="22"/>
          <w:szCs w:val="22"/>
          <w:lang w:val="en-GB"/>
        </w:rPr>
        <w:t xml:space="preserve">partially implemented during, but </w:t>
      </w:r>
      <w:r w:rsidRPr="00CB2A5B">
        <w:rPr>
          <w:sz w:val="22"/>
          <w:szCs w:val="22"/>
          <w:lang w:val="en-GB"/>
        </w:rPr>
        <w:t>not yet completed</w:t>
      </w:r>
      <w:r w:rsidR="002065E9">
        <w:rPr>
          <w:sz w:val="22"/>
          <w:szCs w:val="22"/>
          <w:lang w:val="en-GB"/>
        </w:rPr>
        <w:t xml:space="preserve"> within the reference period</w:t>
      </w:r>
      <w:r w:rsidRPr="00CB2A5B">
        <w:rPr>
          <w:sz w:val="22"/>
          <w:szCs w:val="22"/>
          <w:lang w:val="en-GB"/>
        </w:rPr>
        <w:t>. Only the p</w:t>
      </w:r>
      <w:r w:rsidR="002065E9">
        <w:rPr>
          <w:sz w:val="22"/>
          <w:szCs w:val="22"/>
          <w:lang w:val="en-GB"/>
        </w:rPr>
        <w:t>a</w:t>
      </w:r>
      <w:r w:rsidRPr="00CB2A5B">
        <w:rPr>
          <w:sz w:val="22"/>
          <w:szCs w:val="22"/>
          <w:lang w:val="en-GB"/>
        </w:rPr>
        <w:t>rt completed during the reference period will be taken into consideration. This p</w:t>
      </w:r>
      <w:r w:rsidR="002065E9">
        <w:rPr>
          <w:sz w:val="22"/>
          <w:szCs w:val="22"/>
          <w:lang w:val="en-GB"/>
        </w:rPr>
        <w:t>art</w:t>
      </w:r>
      <w:r w:rsidRPr="00CB2A5B">
        <w:rPr>
          <w:sz w:val="22"/>
          <w:szCs w:val="22"/>
          <w:lang w:val="en-GB"/>
        </w:rPr>
        <w:t xml:space="preserve"> will have to be supported by documentary evidence (</w:t>
      </w:r>
      <w:r w:rsidR="002065E9" w:rsidRPr="005C26A3">
        <w:rPr>
          <w:sz w:val="22"/>
          <w:szCs w:val="22"/>
          <w:lang w:val="en-GB"/>
        </w:rPr>
        <w:t xml:space="preserve">approval of report or </w:t>
      </w:r>
      <w:r w:rsidR="002065E9">
        <w:rPr>
          <w:sz w:val="22"/>
          <w:szCs w:val="22"/>
          <w:lang w:val="en-GB"/>
        </w:rPr>
        <w:t>deliverable</w:t>
      </w:r>
      <w:r w:rsidR="002065E9" w:rsidRPr="005C26A3">
        <w:rPr>
          <w:sz w:val="22"/>
          <w:szCs w:val="22"/>
          <w:lang w:val="en-GB"/>
        </w:rPr>
        <w:t xml:space="preserve">, proof of payment, </w:t>
      </w:r>
      <w:r w:rsidRPr="00CB2A5B">
        <w:rPr>
          <w:sz w:val="22"/>
          <w:szCs w:val="22"/>
          <w:lang w:val="en-GB"/>
        </w:rPr>
        <w:t>statement or certificate from the entity which awarded the contract) also detailing its value. If a tenderer has implemented the supply contract in a consortium, the percentage that the tenderer has successfully completed must be clear from the documentary evidence</w:t>
      </w:r>
      <w:r w:rsidR="002065E9">
        <w:rPr>
          <w:sz w:val="22"/>
          <w:szCs w:val="22"/>
          <w:lang w:val="en-GB"/>
        </w:rPr>
        <w:t xml:space="preserve"> </w:t>
      </w:r>
      <w:r w:rsidR="002065E9" w:rsidRPr="005C26A3">
        <w:rPr>
          <w:sz w:val="22"/>
          <w:szCs w:val="22"/>
          <w:lang w:val="en-GB"/>
        </w:rPr>
        <w:t>(such as consortium agreement and bank transfers between consortium members</w:t>
      </w:r>
      <w:r w:rsidR="002065E9">
        <w:rPr>
          <w:sz w:val="22"/>
          <w:szCs w:val="22"/>
          <w:lang w:val="en-GB"/>
        </w:rPr>
        <w:t>)</w:t>
      </w:r>
      <w:r w:rsidRPr="00CB2A5B">
        <w:rPr>
          <w:sz w:val="22"/>
          <w:szCs w:val="22"/>
          <w:lang w:val="en-GB"/>
        </w:rPr>
        <w:t>, together with a description of the nature of the supplies provided.</w:t>
      </w:r>
    </w:p>
    <w:p w14:paraId="36FE5E2E" w14:textId="76250C06" w:rsidR="006F5FD0" w:rsidRPr="00371C5B" w:rsidRDefault="00994EA3" w:rsidP="00371C5B">
      <w:pPr>
        <w:keepNext/>
        <w:widowControl/>
        <w:spacing w:before="240" w:after="120"/>
        <w:ind w:left="426" w:hanging="426"/>
        <w:outlineLvl w:val="0"/>
        <w:rPr>
          <w:rStyle w:val="Gl"/>
        </w:rPr>
      </w:pPr>
      <w:r w:rsidRPr="00B33EE6">
        <w:rPr>
          <w:rStyle w:val="Gl"/>
          <w:sz w:val="22"/>
          <w:szCs w:val="22"/>
          <w:lang w:val="en-GB"/>
        </w:rPr>
        <w:t>1</w:t>
      </w:r>
      <w:r w:rsidR="0090581D">
        <w:rPr>
          <w:rStyle w:val="Gl"/>
          <w:sz w:val="22"/>
          <w:szCs w:val="22"/>
          <w:lang w:val="en-GB"/>
        </w:rPr>
        <w:t>6</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Award criteria</w:t>
      </w:r>
    </w:p>
    <w:p w14:paraId="576FDB42" w14:textId="0D44BDB3" w:rsidR="006F5FD0" w:rsidRPr="00B33EE6" w:rsidRDefault="00831982" w:rsidP="00371C5B">
      <w:pPr>
        <w:pStyle w:val="Blockquote"/>
        <w:spacing w:before="0"/>
        <w:ind w:left="425" w:right="0"/>
        <w:jc w:val="both"/>
        <w:rPr>
          <w:sz w:val="22"/>
          <w:szCs w:val="22"/>
          <w:lang w:val="en-GB"/>
        </w:rPr>
      </w:pPr>
      <w:r w:rsidRPr="003F1149">
        <w:rPr>
          <w:sz w:val="22"/>
          <w:szCs w:val="22"/>
          <w:lang w:val="en-GB"/>
        </w:rPr>
        <w:t xml:space="preserve">Price </w:t>
      </w:r>
      <w:r>
        <w:rPr>
          <w:sz w:val="22"/>
          <w:szCs w:val="22"/>
          <w:lang w:val="en-GB"/>
        </w:rPr>
        <w:t>(</w:t>
      </w:r>
      <w:r w:rsidRPr="003F1149">
        <w:rPr>
          <w:sz w:val="22"/>
          <w:szCs w:val="22"/>
          <w:lang w:val="en-GB"/>
        </w:rPr>
        <w:t>or, if appropriate after</w:t>
      </w:r>
      <w:r>
        <w:rPr>
          <w:sz w:val="22"/>
          <w:szCs w:val="22"/>
          <w:lang w:val="en-GB"/>
        </w:rPr>
        <w:t xml:space="preserve"> </w:t>
      </w:r>
      <w:r w:rsidRPr="00D7474F">
        <w:rPr>
          <w:sz w:val="22"/>
          <w:szCs w:val="22"/>
          <w:lang w:val="en-GB"/>
        </w:rPr>
        <w:t>prior approval</w:t>
      </w:r>
      <w:r w:rsidRPr="003F1149">
        <w:rPr>
          <w:sz w:val="22"/>
          <w:szCs w:val="22"/>
          <w:lang w:val="en-GB"/>
        </w:rPr>
        <w:t xml:space="preserve">, the </w:t>
      </w:r>
      <w:r>
        <w:rPr>
          <w:sz w:val="22"/>
          <w:szCs w:val="22"/>
          <w:lang w:val="en-GB"/>
        </w:rPr>
        <w:t>best</w:t>
      </w:r>
      <w:r w:rsidR="00DA388D">
        <w:rPr>
          <w:sz w:val="22"/>
          <w:szCs w:val="22"/>
          <w:lang w:val="en-GB"/>
        </w:rPr>
        <w:t xml:space="preserve"> price-quality ratio</w:t>
      </w:r>
      <w:r>
        <w:rPr>
          <w:sz w:val="22"/>
          <w:szCs w:val="22"/>
          <w:lang w:val="en-GB"/>
        </w:rPr>
        <w:t xml:space="preserve"> </w:t>
      </w:r>
      <w:r w:rsidRPr="003F1149">
        <w:rPr>
          <w:sz w:val="22"/>
          <w:szCs w:val="22"/>
          <w:lang w:val="en-GB"/>
        </w:rPr>
        <w:t>which is a combination of quality</w:t>
      </w:r>
      <w:r>
        <w:rPr>
          <w:sz w:val="22"/>
          <w:szCs w:val="22"/>
          <w:lang w:val="en-GB"/>
        </w:rPr>
        <w:t xml:space="preserve"> and </w:t>
      </w:r>
      <w:r w:rsidRPr="003F1149">
        <w:rPr>
          <w:sz w:val="22"/>
          <w:szCs w:val="22"/>
          <w:lang w:val="en-GB"/>
        </w:rPr>
        <w:t>price</w:t>
      </w:r>
      <w:r>
        <w:rPr>
          <w:sz w:val="22"/>
          <w:szCs w:val="22"/>
          <w:lang w:val="en-GB"/>
        </w:rPr>
        <w:t>).</w:t>
      </w:r>
    </w:p>
    <w:p w14:paraId="793B56EE" w14:textId="77777777" w:rsidR="006F5FD0" w:rsidRPr="00B33EE6" w:rsidRDefault="00000000" w:rsidP="00347E84">
      <w:pPr>
        <w:rPr>
          <w:sz w:val="22"/>
          <w:szCs w:val="22"/>
          <w:lang w:val="en-GB"/>
        </w:rPr>
      </w:pPr>
      <w:r>
        <w:rPr>
          <w:snapToGrid/>
          <w:sz w:val="22"/>
          <w:szCs w:val="22"/>
          <w:lang w:val="en-GB"/>
        </w:rPr>
        <w:pict w14:anchorId="45BE0657">
          <v:line id="_x0000_s2050" alt="" style="position:absolute;z-index:5;mso-wrap-edited:f;mso-width-percent:0;mso-height-percent:0;mso-width-percent:0;mso-height-percent:0" from="0,12pt" to="468pt,12.05pt" o:allowincell="f" strokecolor="#d4d4d4" strokeweight="1.75pt">
            <v:shadow on="t" origin=",32385f" offset="0,-1pt"/>
          </v:line>
        </w:pict>
      </w:r>
    </w:p>
    <w:p w14:paraId="7482CE23" w14:textId="77777777" w:rsidR="006F5FD0" w:rsidRPr="00B33EE6" w:rsidRDefault="00994EA3" w:rsidP="00347E84">
      <w:pPr>
        <w:keepNext/>
        <w:jc w:val="center"/>
        <w:rPr>
          <w:sz w:val="28"/>
          <w:szCs w:val="28"/>
          <w:lang w:val="en-GB"/>
        </w:rPr>
      </w:pPr>
      <w:r w:rsidRPr="00B33EE6">
        <w:rPr>
          <w:rStyle w:val="Gl"/>
          <w:sz w:val="28"/>
          <w:szCs w:val="28"/>
          <w:lang w:val="en-GB"/>
        </w:rPr>
        <w:t>TENDERING</w:t>
      </w:r>
    </w:p>
    <w:p w14:paraId="592B0149" w14:textId="212E2889" w:rsidR="006F5FD0" w:rsidRPr="00371C5B" w:rsidRDefault="00994EA3" w:rsidP="00371C5B">
      <w:pPr>
        <w:keepNext/>
        <w:widowControl/>
        <w:spacing w:before="240" w:after="120"/>
        <w:ind w:left="426" w:hanging="426"/>
        <w:outlineLvl w:val="0"/>
        <w:rPr>
          <w:rStyle w:val="Gl"/>
        </w:rPr>
      </w:pPr>
      <w:bookmarkStart w:id="17" w:name="_Hlk216095516"/>
      <w:r w:rsidRPr="00B33EE6">
        <w:rPr>
          <w:rStyle w:val="Gl"/>
          <w:sz w:val="22"/>
          <w:szCs w:val="22"/>
          <w:lang w:val="en-GB"/>
        </w:rPr>
        <w:t>1</w:t>
      </w:r>
      <w:r w:rsidR="00033EFD">
        <w:rPr>
          <w:rStyle w:val="Gl"/>
          <w:sz w:val="22"/>
          <w:szCs w:val="22"/>
          <w:lang w:val="en-GB"/>
        </w:rPr>
        <w:t>7</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 xml:space="preserve">Deadline for </w:t>
      </w:r>
      <w:r w:rsidR="0013314C">
        <w:rPr>
          <w:rStyle w:val="Gl"/>
          <w:sz w:val="22"/>
          <w:szCs w:val="22"/>
          <w:lang w:val="en-GB"/>
        </w:rPr>
        <w:t xml:space="preserve">submission </w:t>
      </w:r>
      <w:r w:rsidR="006F5FD0" w:rsidRPr="00B33EE6">
        <w:rPr>
          <w:rStyle w:val="Gl"/>
          <w:sz w:val="22"/>
          <w:szCs w:val="22"/>
          <w:lang w:val="en-GB"/>
        </w:rPr>
        <w:t xml:space="preserve">of </w:t>
      </w:r>
      <w:r w:rsidRPr="00B33EE6">
        <w:rPr>
          <w:rStyle w:val="Gl"/>
          <w:sz w:val="22"/>
          <w:szCs w:val="22"/>
          <w:lang w:val="en-GB"/>
        </w:rPr>
        <w:t>tenders</w:t>
      </w:r>
    </w:p>
    <w:p w14:paraId="61DD2F00" w14:textId="26818E57" w:rsidR="006F5FD0" w:rsidRPr="00B33EE6" w:rsidRDefault="00994EA3" w:rsidP="00371C5B">
      <w:pPr>
        <w:pStyle w:val="Blockquote"/>
        <w:spacing w:before="40" w:after="60"/>
        <w:ind w:left="425" w:right="0"/>
        <w:jc w:val="both"/>
        <w:rPr>
          <w:i/>
          <w:sz w:val="22"/>
          <w:szCs w:val="22"/>
          <w:lang w:val="en-GB"/>
        </w:rPr>
      </w:pPr>
      <w:r w:rsidRPr="00B33EE6">
        <w:rPr>
          <w:rStyle w:val="Vurgu"/>
          <w:i w:val="0"/>
          <w:sz w:val="22"/>
          <w:szCs w:val="22"/>
          <w:lang w:val="en-GB"/>
        </w:rPr>
        <w:t xml:space="preserve">The deadline for </w:t>
      </w:r>
      <w:r w:rsidR="0013314C">
        <w:rPr>
          <w:rStyle w:val="Vurgu"/>
          <w:i w:val="0"/>
          <w:sz w:val="22"/>
          <w:szCs w:val="22"/>
          <w:lang w:val="en-GB"/>
        </w:rPr>
        <w:t xml:space="preserve">submission </w:t>
      </w:r>
      <w:r w:rsidRPr="00B33EE6">
        <w:rPr>
          <w:rStyle w:val="Vurgu"/>
          <w:i w:val="0"/>
          <w:sz w:val="22"/>
          <w:szCs w:val="22"/>
          <w:lang w:val="en-GB"/>
        </w:rPr>
        <w:t xml:space="preserve">of tenders is </w:t>
      </w:r>
      <w:r w:rsidR="00F7260A">
        <w:rPr>
          <w:rStyle w:val="Vurgu"/>
          <w:b/>
          <w:bCs/>
          <w:i w:val="0"/>
          <w:sz w:val="22"/>
          <w:szCs w:val="22"/>
          <w:lang w:val="en-GB"/>
        </w:rPr>
        <w:t>2</w:t>
      </w:r>
      <w:r w:rsidR="008E4DA7">
        <w:rPr>
          <w:rStyle w:val="Vurgu"/>
          <w:b/>
          <w:bCs/>
          <w:i w:val="0"/>
          <w:sz w:val="22"/>
          <w:szCs w:val="22"/>
          <w:lang w:val="en-GB"/>
        </w:rPr>
        <w:t>9</w:t>
      </w:r>
      <w:r w:rsidR="00185630" w:rsidRPr="00AE1D10">
        <w:rPr>
          <w:rStyle w:val="Vurgu"/>
          <w:b/>
          <w:bCs/>
          <w:i w:val="0"/>
          <w:sz w:val="22"/>
          <w:szCs w:val="22"/>
          <w:lang w:val="en-GB"/>
        </w:rPr>
        <w:t>.</w:t>
      </w:r>
      <w:r w:rsidR="00185630">
        <w:rPr>
          <w:rStyle w:val="Vurgu"/>
          <w:b/>
          <w:bCs/>
          <w:i w:val="0"/>
          <w:sz w:val="22"/>
          <w:szCs w:val="22"/>
          <w:lang w:val="en-GB"/>
        </w:rPr>
        <w:t>1</w:t>
      </w:r>
      <w:r w:rsidR="00F7260A">
        <w:rPr>
          <w:rStyle w:val="Vurgu"/>
          <w:b/>
          <w:bCs/>
          <w:i w:val="0"/>
          <w:sz w:val="22"/>
          <w:szCs w:val="22"/>
          <w:lang w:val="en-GB"/>
        </w:rPr>
        <w:t>2</w:t>
      </w:r>
      <w:r w:rsidR="00185630" w:rsidRPr="00AE1D10">
        <w:rPr>
          <w:rStyle w:val="Vurgu"/>
          <w:b/>
          <w:bCs/>
          <w:i w:val="0"/>
          <w:sz w:val="22"/>
          <w:szCs w:val="22"/>
          <w:lang w:val="en-GB"/>
        </w:rPr>
        <w:t>.2025 /17:00h.</w:t>
      </w:r>
      <w:r w:rsidR="00185630" w:rsidRPr="00AE1D10">
        <w:rPr>
          <w:rStyle w:val="Vurgu"/>
          <w:i w:val="0"/>
          <w:sz w:val="22"/>
          <w:szCs w:val="22"/>
          <w:lang w:val="en-GB"/>
        </w:rPr>
        <w:t xml:space="preserve"> (local time).</w:t>
      </w:r>
      <w:r w:rsidR="00185630" w:rsidRPr="00AE1D10" w:rsidDel="00994EA3">
        <w:rPr>
          <w:rStyle w:val="Vurgu"/>
          <w:i w:val="0"/>
          <w:sz w:val="22"/>
          <w:szCs w:val="22"/>
          <w:lang w:val="en-GB"/>
        </w:rPr>
        <w:t xml:space="preserve">    </w:t>
      </w:r>
    </w:p>
    <w:bookmarkEnd w:id="17"/>
    <w:p w14:paraId="7D60F8E6" w14:textId="62D49E53" w:rsidR="006F5FD0" w:rsidRPr="00371C5B" w:rsidRDefault="00994EA3" w:rsidP="00371C5B">
      <w:pPr>
        <w:keepNext/>
        <w:widowControl/>
        <w:spacing w:before="240" w:after="120"/>
        <w:ind w:left="426" w:hanging="426"/>
        <w:outlineLvl w:val="0"/>
        <w:rPr>
          <w:rStyle w:val="Gl"/>
        </w:rPr>
      </w:pPr>
      <w:r w:rsidRPr="00B33EE6">
        <w:rPr>
          <w:rStyle w:val="Gl"/>
          <w:sz w:val="22"/>
          <w:szCs w:val="22"/>
          <w:lang w:val="en-GB"/>
        </w:rPr>
        <w:t>1</w:t>
      </w:r>
      <w:r w:rsidR="00033EFD">
        <w:rPr>
          <w:rStyle w:val="Gl"/>
          <w:sz w:val="22"/>
          <w:szCs w:val="22"/>
          <w:lang w:val="en-GB"/>
        </w:rPr>
        <w:t>8</w:t>
      </w:r>
      <w:r w:rsidR="006F5FD0"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 xml:space="preserve">Tender </w:t>
      </w:r>
      <w:r w:rsidR="006F5FD0" w:rsidRPr="00B33EE6">
        <w:rPr>
          <w:rStyle w:val="Gl"/>
          <w:sz w:val="22"/>
          <w:szCs w:val="22"/>
          <w:lang w:val="en-GB"/>
        </w:rPr>
        <w:t>format and details to be provided</w:t>
      </w:r>
    </w:p>
    <w:p w14:paraId="0C3990F6" w14:textId="7F402B76" w:rsidR="006F5FD0" w:rsidRPr="00B33EE6" w:rsidRDefault="00994EA3" w:rsidP="00371C5B">
      <w:pPr>
        <w:pStyle w:val="Blockquote"/>
        <w:spacing w:before="40" w:after="60"/>
        <w:ind w:left="425" w:right="0"/>
        <w:jc w:val="both"/>
        <w:rPr>
          <w:sz w:val="22"/>
          <w:szCs w:val="22"/>
          <w:lang w:val="en-GB"/>
        </w:rPr>
      </w:pPr>
      <w:r w:rsidRPr="00B33EE6">
        <w:rPr>
          <w:rStyle w:val="Gl"/>
          <w:b w:val="0"/>
          <w:sz w:val="22"/>
          <w:szCs w:val="22"/>
          <w:lang w:val="en-GB"/>
        </w:rPr>
        <w:t>Tenders</w:t>
      </w:r>
      <w:r w:rsidR="006F5FD0" w:rsidRPr="00B33EE6">
        <w:rPr>
          <w:rStyle w:val="Gl"/>
          <w:b w:val="0"/>
          <w:sz w:val="22"/>
          <w:szCs w:val="22"/>
          <w:lang w:val="en-GB"/>
        </w:rPr>
        <w:t xml:space="preserve"> must be submitted using the standard </w:t>
      </w:r>
      <w:r w:rsidRPr="00B33EE6">
        <w:rPr>
          <w:rStyle w:val="Gl"/>
          <w:b w:val="0"/>
          <w:sz w:val="22"/>
          <w:szCs w:val="22"/>
          <w:lang w:val="en-GB"/>
        </w:rPr>
        <w:t>tender</w:t>
      </w:r>
      <w:r w:rsidR="006F5FD0" w:rsidRPr="00B33EE6">
        <w:rPr>
          <w:rStyle w:val="Gl"/>
          <w:b w:val="0"/>
          <w:sz w:val="22"/>
          <w:szCs w:val="22"/>
          <w:lang w:val="en-GB"/>
        </w:rPr>
        <w:t xml:space="preserve"> form</w:t>
      </w:r>
      <w:r w:rsidR="00771F85">
        <w:rPr>
          <w:rStyle w:val="Gl"/>
          <w:b w:val="0"/>
          <w:sz w:val="22"/>
          <w:szCs w:val="22"/>
          <w:lang w:val="en-GB"/>
        </w:rPr>
        <w:t>.</w:t>
      </w:r>
      <w:r w:rsidR="006F5FD0" w:rsidRPr="00B33EE6">
        <w:rPr>
          <w:sz w:val="22"/>
          <w:szCs w:val="22"/>
          <w:lang w:val="en-GB"/>
        </w:rPr>
        <w:t xml:space="preserve"> </w:t>
      </w:r>
    </w:p>
    <w:p w14:paraId="177AD528" w14:textId="77777777" w:rsidR="004D5EDB" w:rsidRPr="00B33EE6" w:rsidRDefault="004D5EDB" w:rsidP="00371C5B">
      <w:pPr>
        <w:pStyle w:val="Blockquote"/>
        <w:ind w:left="425" w:right="0"/>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CACE45" w:rsidR="004D5EDB" w:rsidRPr="00886ED7" w:rsidRDefault="00886ED7" w:rsidP="00371C5B">
      <w:pPr>
        <w:pStyle w:val="Blockquote"/>
        <w:ind w:left="425" w:right="0"/>
        <w:jc w:val="both"/>
        <w:rPr>
          <w:sz w:val="22"/>
          <w:szCs w:val="22"/>
          <w:lang w:val="en-GB"/>
        </w:rPr>
      </w:pPr>
      <w:hyperlink r:id="rId8" w:anchor="Annexes-AnnexesA(Ch.2):General" w:history="1">
        <w:r w:rsidRPr="002E25ED">
          <w:rPr>
            <w:rStyle w:val="Kpr"/>
            <w:sz w:val="22"/>
            <w:szCs w:val="22"/>
            <w:lang w:val="en-GB"/>
          </w:rPr>
          <w:t>https://wikis.ec.europa.eu/display/ExactExternalWiki/Annexes#Annexes-AnnexesA(Ch.2):General</w:t>
        </w:r>
      </w:hyperlink>
    </w:p>
    <w:p w14:paraId="438E0786" w14:textId="77777777" w:rsidR="006F5FD0" w:rsidRPr="00B33EE6" w:rsidRDefault="006F5FD0" w:rsidP="00371C5B">
      <w:pPr>
        <w:pStyle w:val="Blockquote"/>
        <w:ind w:left="425" w:right="0"/>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40FAD56E" w:rsidR="006F5FD0" w:rsidRPr="00371C5B" w:rsidRDefault="00033EFD" w:rsidP="00371C5B">
      <w:pPr>
        <w:keepNext/>
        <w:widowControl/>
        <w:spacing w:before="240" w:after="120"/>
        <w:ind w:left="426" w:hanging="426"/>
        <w:outlineLvl w:val="0"/>
        <w:rPr>
          <w:rStyle w:val="Gl"/>
        </w:rPr>
      </w:pPr>
      <w:r>
        <w:rPr>
          <w:rStyle w:val="Gl"/>
          <w:sz w:val="22"/>
          <w:szCs w:val="22"/>
          <w:lang w:val="en-GB"/>
        </w:rPr>
        <w:t>19</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 xml:space="preserve">How </w:t>
      </w:r>
      <w:r w:rsidR="006714ED" w:rsidRPr="00B33EE6">
        <w:rPr>
          <w:rStyle w:val="Gl"/>
          <w:sz w:val="22"/>
          <w:szCs w:val="22"/>
          <w:lang w:val="en-GB"/>
        </w:rPr>
        <w:t>tenders</w:t>
      </w:r>
      <w:r w:rsidR="006F5FD0" w:rsidRPr="00B33EE6">
        <w:rPr>
          <w:rStyle w:val="Gl"/>
          <w:sz w:val="22"/>
          <w:szCs w:val="22"/>
          <w:lang w:val="en-GB"/>
        </w:rPr>
        <w:t xml:space="preserve"> may be submitted</w:t>
      </w:r>
    </w:p>
    <w:p w14:paraId="7919897A" w14:textId="6CB53E63" w:rsidR="006F5FD0" w:rsidRPr="00B33EE6" w:rsidRDefault="006714ED" w:rsidP="00371C5B">
      <w:pPr>
        <w:pStyle w:val="Blockquote"/>
        <w:spacing w:before="40" w:after="120"/>
        <w:ind w:left="425" w:right="0"/>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enderers.</w:t>
      </w:r>
    </w:p>
    <w:p w14:paraId="63BBF791" w14:textId="77777777" w:rsidR="00EF03C9" w:rsidRPr="00B33EE6" w:rsidRDefault="006714ED" w:rsidP="00371C5B">
      <w:pPr>
        <w:pStyle w:val="Blockquote"/>
        <w:spacing w:before="0" w:after="120"/>
        <w:ind w:left="425" w:right="0"/>
        <w:jc w:val="both"/>
        <w:rPr>
          <w:rStyle w:val="Gl"/>
          <w:b w:val="0"/>
          <w:sz w:val="22"/>
          <w:szCs w:val="22"/>
          <w:lang w:val="en-GB"/>
        </w:rPr>
      </w:pPr>
      <w:r w:rsidRPr="00B33EE6">
        <w:rPr>
          <w:rStyle w:val="Gl"/>
          <w:b w:val="0"/>
          <w:sz w:val="22"/>
          <w:szCs w:val="22"/>
          <w:lang w:val="en-GB"/>
        </w:rPr>
        <w:t>Tenders</w:t>
      </w:r>
      <w:r w:rsidR="006F5FD0" w:rsidRPr="00B33EE6">
        <w:rPr>
          <w:rStyle w:val="Gl"/>
          <w:b w:val="0"/>
          <w:sz w:val="22"/>
          <w:szCs w:val="22"/>
          <w:lang w:val="en-GB"/>
        </w:rPr>
        <w:t xml:space="preserve"> submitted by any other means will not be considered.</w:t>
      </w:r>
    </w:p>
    <w:p w14:paraId="3D156565" w14:textId="2CED2608" w:rsidR="00502BBF" w:rsidRPr="00B33EE6" w:rsidRDefault="00502BBF" w:rsidP="00371C5B">
      <w:pPr>
        <w:pStyle w:val="Blockquote"/>
        <w:spacing w:before="40" w:after="120"/>
        <w:ind w:left="425" w:right="0"/>
        <w:jc w:val="both"/>
        <w:rPr>
          <w:rStyle w:val="Gl"/>
          <w:b w:val="0"/>
          <w:sz w:val="22"/>
          <w:szCs w:val="22"/>
          <w:lang w:val="en-GB"/>
        </w:rPr>
      </w:pPr>
      <w:r w:rsidRPr="00B33EE6">
        <w:rPr>
          <w:sz w:val="22"/>
          <w:szCs w:val="22"/>
          <w:lang w:val="en-GB"/>
        </w:rPr>
        <w:lastRenderedPageBreak/>
        <w:t>By submitting a tender</w:t>
      </w:r>
      <w:r w:rsidR="00DA388D">
        <w:rPr>
          <w:sz w:val="22"/>
          <w:szCs w:val="22"/>
          <w:lang w:val="en-GB"/>
        </w:rPr>
        <w:t>,</w:t>
      </w:r>
      <w:r w:rsidRPr="00B33EE6">
        <w:rPr>
          <w:sz w:val="22"/>
          <w:szCs w:val="22"/>
          <w:lang w:val="en-GB"/>
        </w:rPr>
        <w:t xml:space="preserve"> tenderers accept to receive notification of the outcome of the procedure by electronic means.</w:t>
      </w:r>
    </w:p>
    <w:p w14:paraId="78DFA6DC" w14:textId="002747CA" w:rsidR="003262FC" w:rsidRPr="00371C5B" w:rsidRDefault="003262FC" w:rsidP="00371C5B">
      <w:pPr>
        <w:keepNext/>
        <w:widowControl/>
        <w:spacing w:before="240" w:after="120"/>
        <w:ind w:left="426" w:hanging="426"/>
        <w:outlineLvl w:val="0"/>
        <w:rPr>
          <w:rStyle w:val="Gl"/>
        </w:rPr>
      </w:pPr>
      <w:r w:rsidRPr="00B33EE6">
        <w:rPr>
          <w:rStyle w:val="Gl"/>
          <w:sz w:val="22"/>
          <w:szCs w:val="22"/>
          <w:lang w:val="en-GB"/>
        </w:rPr>
        <w:t>2</w:t>
      </w:r>
      <w:r w:rsidR="00033EFD">
        <w:rPr>
          <w:rStyle w:val="Gl"/>
          <w:sz w:val="22"/>
          <w:szCs w:val="22"/>
          <w:lang w:val="en-GB"/>
        </w:rPr>
        <w:t>0</w:t>
      </w:r>
      <w:r w:rsidRPr="00B33EE6">
        <w:rPr>
          <w:rStyle w:val="Gl"/>
          <w:sz w:val="22"/>
          <w:szCs w:val="22"/>
          <w:lang w:val="en-GB"/>
        </w:rPr>
        <w:t>.</w:t>
      </w:r>
      <w:r w:rsidR="00584BF4" w:rsidRPr="00B33EE6">
        <w:rPr>
          <w:rStyle w:val="Gl"/>
          <w:sz w:val="22"/>
          <w:szCs w:val="22"/>
          <w:lang w:val="en-GB"/>
        </w:rPr>
        <w:tab/>
      </w:r>
      <w:r w:rsidRPr="00B33EE6">
        <w:rPr>
          <w:rStyle w:val="Gl"/>
          <w:sz w:val="22"/>
          <w:szCs w:val="22"/>
          <w:lang w:val="en-GB"/>
        </w:rPr>
        <w:t xml:space="preserve">Alteration or withdrawal of </w:t>
      </w:r>
      <w:r w:rsidR="006714ED" w:rsidRPr="00B33EE6">
        <w:rPr>
          <w:rStyle w:val="Gl"/>
          <w:sz w:val="22"/>
          <w:szCs w:val="22"/>
          <w:lang w:val="en-GB"/>
        </w:rPr>
        <w:t>tenders</w:t>
      </w:r>
    </w:p>
    <w:p w14:paraId="37113797" w14:textId="77777777" w:rsidR="003262FC" w:rsidRPr="00B33EE6" w:rsidRDefault="006714ED" w:rsidP="00371C5B">
      <w:pPr>
        <w:pStyle w:val="Blockquote"/>
        <w:spacing w:before="40" w:after="120"/>
        <w:ind w:left="425" w:right="0"/>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371C5B">
      <w:pPr>
        <w:pStyle w:val="Blockquote"/>
        <w:spacing w:before="0" w:after="120"/>
        <w:ind w:left="425" w:right="0"/>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DF9D28B" w:rsidR="006F5FD0" w:rsidRPr="00371C5B" w:rsidRDefault="003262FC" w:rsidP="00371C5B">
      <w:pPr>
        <w:keepNext/>
        <w:widowControl/>
        <w:spacing w:before="240" w:after="120"/>
        <w:ind w:left="426" w:hanging="426"/>
        <w:outlineLvl w:val="0"/>
        <w:rPr>
          <w:rStyle w:val="Gl"/>
        </w:rPr>
      </w:pPr>
      <w:r w:rsidRPr="00B33EE6">
        <w:rPr>
          <w:rStyle w:val="Gl"/>
          <w:sz w:val="22"/>
          <w:szCs w:val="22"/>
          <w:lang w:val="en-GB"/>
        </w:rPr>
        <w:t>2</w:t>
      </w:r>
      <w:r w:rsidR="00033EFD">
        <w:rPr>
          <w:rStyle w:val="Gl"/>
          <w:sz w:val="22"/>
          <w:szCs w:val="22"/>
          <w:lang w:val="en-GB"/>
        </w:rPr>
        <w:t>1</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Operational language</w:t>
      </w:r>
    </w:p>
    <w:p w14:paraId="231E3CC8" w14:textId="77777777" w:rsidR="006F5FD0" w:rsidRPr="00B33EE6" w:rsidRDefault="006F5FD0" w:rsidP="00371C5B">
      <w:pPr>
        <w:pStyle w:val="Blockquote"/>
        <w:spacing w:before="40" w:after="120"/>
        <w:ind w:left="425" w:right="0"/>
        <w:jc w:val="both"/>
        <w:rPr>
          <w:i/>
          <w:sz w:val="22"/>
          <w:szCs w:val="22"/>
          <w:lang w:val="en-GB"/>
        </w:rPr>
      </w:pPr>
      <w:r w:rsidRPr="00B33EE6">
        <w:rPr>
          <w:rStyle w:val="Vurgu"/>
          <w:i w:val="0"/>
          <w:sz w:val="22"/>
          <w:szCs w:val="22"/>
          <w:lang w:val="en-GB"/>
        </w:rPr>
        <w:t xml:space="preserve">All written communications for this tender procedure and contract must be in English.  </w:t>
      </w:r>
    </w:p>
    <w:p w14:paraId="38DC66B2" w14:textId="7F95E190" w:rsidR="00E9047D" w:rsidRPr="00371C5B" w:rsidRDefault="00326B16" w:rsidP="00371C5B">
      <w:pPr>
        <w:keepNext/>
        <w:widowControl/>
        <w:spacing w:before="240" w:after="120"/>
        <w:ind w:left="426" w:hanging="426"/>
        <w:outlineLvl w:val="0"/>
        <w:rPr>
          <w:rStyle w:val="Gl"/>
        </w:rPr>
      </w:pPr>
      <w:r w:rsidRPr="00371C5B">
        <w:rPr>
          <w:rStyle w:val="Gl"/>
        </w:rPr>
        <w:t>2</w:t>
      </w:r>
      <w:r w:rsidR="00033EFD">
        <w:rPr>
          <w:rStyle w:val="Gl"/>
        </w:rPr>
        <w:t>2</w:t>
      </w:r>
      <w:r w:rsidR="008272C0" w:rsidRPr="00371C5B">
        <w:rPr>
          <w:rStyle w:val="Gl"/>
        </w:rPr>
        <w:t>.</w:t>
      </w:r>
      <w:r w:rsidR="00FD5083">
        <w:rPr>
          <w:rStyle w:val="Gl"/>
        </w:rPr>
        <w:tab/>
      </w:r>
      <w:r w:rsidR="00E9047D" w:rsidRPr="00371C5B">
        <w:rPr>
          <w:rStyle w:val="Gl"/>
        </w:rPr>
        <w:t>Additional information</w:t>
      </w:r>
    </w:p>
    <w:p w14:paraId="2E422C72" w14:textId="77777777" w:rsidR="006A77E9" w:rsidRDefault="00185630" w:rsidP="006A77E9">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in </w:t>
      </w:r>
      <w:r w:rsidRPr="00C268CC">
        <w:rPr>
          <w:sz w:val="22"/>
          <w:szCs w:val="22"/>
          <w:lang w:val="en-GB"/>
        </w:rPr>
        <w:t>EUR</w:t>
      </w:r>
      <w:r>
        <w:rPr>
          <w:sz w:val="22"/>
          <w:szCs w:val="22"/>
          <w:lang w:val="en-GB"/>
        </w:rPr>
        <w:t xml:space="preserve">. </w:t>
      </w:r>
      <w:r w:rsidRPr="008660AD">
        <w:rPr>
          <w:sz w:val="22"/>
          <w:szCs w:val="22"/>
          <w:lang w:val="en-GB"/>
        </w:rPr>
        <w:t xml:space="preserve">If applicable, where a candidate refers to amounts originally expressed in a different </w:t>
      </w:r>
      <w:r w:rsidRPr="00AE1D10">
        <w:rPr>
          <w:sz w:val="22"/>
          <w:szCs w:val="22"/>
          <w:lang w:val="en-GB"/>
        </w:rPr>
        <w:t xml:space="preserve">currency, the conversion to EUR shall be made in accordance with the </w:t>
      </w:r>
      <w:proofErr w:type="spellStart"/>
      <w:r w:rsidRPr="00AE1D10">
        <w:rPr>
          <w:sz w:val="22"/>
          <w:szCs w:val="22"/>
          <w:lang w:val="en-GB"/>
        </w:rPr>
        <w:t>InforEuro</w:t>
      </w:r>
      <w:proofErr w:type="spellEnd"/>
      <w:r w:rsidRPr="00AE1D10">
        <w:rPr>
          <w:sz w:val="22"/>
          <w:szCs w:val="22"/>
          <w:lang w:val="en-GB"/>
        </w:rPr>
        <w:t xml:space="preserve"> exchange rate of </w:t>
      </w:r>
      <w:r w:rsidR="006A77E9">
        <w:rPr>
          <w:b/>
          <w:sz w:val="22"/>
          <w:szCs w:val="22"/>
          <w:lang w:val="en-GB"/>
        </w:rPr>
        <w:t>December</w:t>
      </w:r>
      <w:r>
        <w:rPr>
          <w:b/>
          <w:sz w:val="22"/>
          <w:szCs w:val="22"/>
          <w:lang w:val="en-GB"/>
        </w:rPr>
        <w:t xml:space="preserve"> </w:t>
      </w:r>
      <w:r w:rsidRPr="00AE1D10">
        <w:rPr>
          <w:b/>
          <w:sz w:val="22"/>
          <w:szCs w:val="22"/>
          <w:lang w:val="en-GB"/>
        </w:rPr>
        <w:t>202</w:t>
      </w:r>
      <w:r>
        <w:rPr>
          <w:b/>
          <w:sz w:val="22"/>
          <w:szCs w:val="22"/>
          <w:lang w:val="en-GB"/>
        </w:rPr>
        <w:t>5</w:t>
      </w:r>
      <w:r w:rsidRPr="008660AD">
        <w:rPr>
          <w:sz w:val="22"/>
          <w:szCs w:val="22"/>
          <w:lang w:val="en-GB"/>
        </w:rPr>
        <w:t xml:space="preserve"> which can be found at the following address: </w:t>
      </w:r>
    </w:p>
    <w:p w14:paraId="5EF751D2" w14:textId="46471F38" w:rsidR="00185630" w:rsidRPr="008660AD" w:rsidRDefault="006A77E9" w:rsidP="006A77E9">
      <w:pPr>
        <w:widowControl/>
        <w:snapToGrid w:val="0"/>
        <w:spacing w:after="0"/>
        <w:ind w:left="284" w:right="360"/>
        <w:rPr>
          <w:sz w:val="22"/>
          <w:szCs w:val="22"/>
          <w:lang w:val="en-GB"/>
        </w:rPr>
      </w:pPr>
      <w:hyperlink r:id="rId9" w:history="1">
        <w:r w:rsidRPr="00FE1DE3">
          <w:rPr>
            <w:rStyle w:val="Kpr"/>
            <w:sz w:val="22"/>
            <w:szCs w:val="22"/>
            <w:lang w:val="en-GB"/>
          </w:rPr>
          <w:t>http://ec.europa.eu/budget/graphs/inforeuro.html</w:t>
        </w:r>
      </w:hyperlink>
      <w:r w:rsidR="00185630" w:rsidRPr="008660AD">
        <w:rPr>
          <w:sz w:val="22"/>
          <w:szCs w:val="22"/>
          <w:lang w:val="en-GB"/>
        </w:rPr>
        <w:t>.</w:t>
      </w:r>
    </w:p>
    <w:p w14:paraId="510ABBC1" w14:textId="77777777" w:rsidR="00185630" w:rsidRPr="00F9055E" w:rsidRDefault="00185630" w:rsidP="00185630">
      <w:pPr>
        <w:pStyle w:val="Blockquote"/>
        <w:spacing w:before="480"/>
        <w:ind w:left="357" w:right="357"/>
        <w:jc w:val="center"/>
        <w:rPr>
          <w:sz w:val="22"/>
          <w:szCs w:val="22"/>
          <w:lang w:val="en-GB"/>
        </w:rPr>
      </w:pPr>
      <w:r>
        <w:rPr>
          <w:sz w:val="22"/>
          <w:szCs w:val="22"/>
          <w:lang w:val="en-GB"/>
        </w:rPr>
        <w:t>* * *</w:t>
      </w:r>
    </w:p>
    <w:p w14:paraId="4EE4635D" w14:textId="080FBDF7" w:rsidR="00E9047D" w:rsidRPr="00F9055E" w:rsidRDefault="00E9047D" w:rsidP="00371C5B">
      <w:pPr>
        <w:pStyle w:val="Blockquote"/>
        <w:ind w:left="425" w:right="0"/>
        <w:jc w:val="both"/>
        <w:rPr>
          <w:sz w:val="22"/>
          <w:szCs w:val="22"/>
          <w:lang w:val="en-GB"/>
        </w:rPr>
      </w:pPr>
    </w:p>
    <w:p w14:paraId="2AC4BD41" w14:textId="67437ECE" w:rsidR="007F6AA9" w:rsidRPr="00F9055E" w:rsidRDefault="007F6AA9" w:rsidP="00371C5B">
      <w:pPr>
        <w:pStyle w:val="Blockquote"/>
        <w:spacing w:before="480"/>
        <w:ind w:left="357" w:right="357"/>
        <w:jc w:val="center"/>
        <w:rPr>
          <w:sz w:val="22"/>
          <w:szCs w:val="22"/>
          <w:lang w:val="en-GB"/>
        </w:rPr>
      </w:pPr>
    </w:p>
    <w:sectPr w:rsidR="007F6AA9" w:rsidRPr="00F9055E" w:rsidSect="001413D4">
      <w:headerReference w:type="default" r:id="rId10"/>
      <w:footerReference w:type="default" r:id="rId11"/>
      <w:pgSz w:w="12240" w:h="15840"/>
      <w:pgMar w:top="709" w:right="1440" w:bottom="1276" w:left="1418" w:header="142"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2F913" w14:textId="77777777" w:rsidR="001F6CE3" w:rsidRDefault="001F6CE3">
      <w:r>
        <w:separator/>
      </w:r>
    </w:p>
  </w:endnote>
  <w:endnote w:type="continuationSeparator" w:id="0">
    <w:p w14:paraId="3086A670" w14:textId="77777777" w:rsidR="001F6CE3" w:rsidRDefault="001F6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A2"/>
    <w:family w:val="modern"/>
    <w:pitch w:val="fixed"/>
    <w:sig w:usb0="E0002EFF" w:usb1="C0007843"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292A5E0F" w:rsidR="00EF0A8C" w:rsidRPr="00B33EE6" w:rsidRDefault="00FD5083" w:rsidP="00F9055E">
    <w:pPr>
      <w:pStyle w:val="AltBilgi"/>
      <w:tabs>
        <w:tab w:val="clear" w:pos="4320"/>
        <w:tab w:val="clear" w:pos="8640"/>
        <w:tab w:val="right" w:pos="9214"/>
      </w:tabs>
      <w:spacing w:before="120" w:after="0"/>
      <w:rPr>
        <w:b/>
        <w:sz w:val="20"/>
        <w:lang w:val="en-GB"/>
      </w:rPr>
    </w:pPr>
    <w:r>
      <w:rPr>
        <w:b/>
        <w:sz w:val="20"/>
      </w:rPr>
      <w:t>202</w:t>
    </w:r>
    <w:r w:rsidR="00C640A4">
      <w:rPr>
        <w:b/>
        <w:sz w:val="20"/>
      </w:rPr>
      <w:t>5</w:t>
    </w:r>
    <w:r w:rsidR="00EF0A8C" w:rsidRPr="00B33EE6">
      <w:rPr>
        <w:sz w:val="18"/>
        <w:szCs w:val="18"/>
        <w:lang w:val="en-GB"/>
      </w:rPr>
      <w:tab/>
      <w:t xml:space="preserve">Page </w:t>
    </w:r>
    <w:r w:rsidR="00EF0A8C" w:rsidRPr="00B33EE6">
      <w:rPr>
        <w:rStyle w:val="SayfaNumaras"/>
        <w:sz w:val="18"/>
        <w:szCs w:val="18"/>
        <w:lang w:val="en-GB"/>
      </w:rPr>
      <w:fldChar w:fldCharType="begin"/>
    </w:r>
    <w:r w:rsidR="00EF0A8C" w:rsidRPr="00B33EE6">
      <w:rPr>
        <w:rStyle w:val="SayfaNumaras"/>
        <w:sz w:val="18"/>
        <w:szCs w:val="18"/>
        <w:lang w:val="en-GB"/>
      </w:rPr>
      <w:instrText xml:space="preserve"> PAGE </w:instrText>
    </w:r>
    <w:r w:rsidR="00EF0A8C" w:rsidRPr="00B33EE6">
      <w:rPr>
        <w:rStyle w:val="SayfaNumaras"/>
        <w:sz w:val="18"/>
        <w:szCs w:val="18"/>
        <w:lang w:val="en-GB"/>
      </w:rPr>
      <w:fldChar w:fldCharType="separate"/>
    </w:r>
    <w:r w:rsidR="002E25ED">
      <w:rPr>
        <w:rStyle w:val="SayfaNumaras"/>
        <w:noProof/>
        <w:sz w:val="18"/>
        <w:szCs w:val="18"/>
        <w:lang w:val="en-GB"/>
      </w:rPr>
      <w:t>1</w:t>
    </w:r>
    <w:r w:rsidR="00EF0A8C" w:rsidRPr="00B33EE6">
      <w:rPr>
        <w:rStyle w:val="SayfaNumaras"/>
        <w:sz w:val="18"/>
        <w:szCs w:val="18"/>
        <w:lang w:val="en-GB"/>
      </w:rPr>
      <w:fldChar w:fldCharType="end"/>
    </w:r>
    <w:r w:rsidR="00B33EE6" w:rsidRPr="00B33EE6">
      <w:rPr>
        <w:rStyle w:val="SayfaNumaras"/>
        <w:sz w:val="18"/>
        <w:szCs w:val="18"/>
        <w:lang w:val="en-GB"/>
      </w:rPr>
      <w:t xml:space="preserve"> of </w:t>
    </w:r>
    <w:r w:rsidR="00B33EE6" w:rsidRPr="00B33EE6">
      <w:rPr>
        <w:rStyle w:val="SayfaNumaras"/>
        <w:sz w:val="18"/>
        <w:szCs w:val="18"/>
        <w:lang w:val="en-GB"/>
      </w:rPr>
      <w:fldChar w:fldCharType="begin"/>
    </w:r>
    <w:r w:rsidR="00B33EE6" w:rsidRPr="00B33EE6">
      <w:rPr>
        <w:rStyle w:val="SayfaNumaras"/>
        <w:sz w:val="18"/>
        <w:szCs w:val="18"/>
        <w:lang w:val="en-GB"/>
      </w:rPr>
      <w:instrText xml:space="preserve"> NUMPAGES   \* MERGEFORMAT </w:instrText>
    </w:r>
    <w:r w:rsidR="00B33EE6" w:rsidRPr="00B33EE6">
      <w:rPr>
        <w:rStyle w:val="SayfaNumaras"/>
        <w:sz w:val="18"/>
        <w:szCs w:val="18"/>
        <w:lang w:val="en-GB"/>
      </w:rPr>
      <w:fldChar w:fldCharType="separate"/>
    </w:r>
    <w:r w:rsidR="002E25ED">
      <w:rPr>
        <w:rStyle w:val="SayfaNumaras"/>
        <w:noProof/>
        <w:sz w:val="18"/>
        <w:szCs w:val="18"/>
        <w:lang w:val="en-GB"/>
      </w:rPr>
      <w:t>8</w:t>
    </w:r>
    <w:r w:rsidR="00B33EE6" w:rsidRPr="00B33EE6">
      <w:rPr>
        <w:rStyle w:val="SayfaNumaras"/>
        <w:sz w:val="18"/>
        <w:szCs w:val="18"/>
        <w:lang w:val="en-GB"/>
      </w:rPr>
      <w:fldChar w:fldCharType="end"/>
    </w:r>
  </w:p>
  <w:p w14:paraId="77551F46" w14:textId="2A0EDC76" w:rsidR="00EF0A8C" w:rsidRPr="00B33EE6" w:rsidRDefault="00FD5083" w:rsidP="00FD5083">
    <w:pPr>
      <w:pStyle w:val="AltBilgi"/>
      <w:spacing w:before="0" w:after="0"/>
      <w:rPr>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C640A4">
      <w:rPr>
        <w:noProof/>
        <w:sz w:val="18"/>
        <w:szCs w:val="18"/>
        <w:lang w:val="en-GB"/>
      </w:rPr>
      <w:t>c2_contractnotice_simp_neg_en.docx</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895801" w14:textId="77777777" w:rsidR="001F6CE3" w:rsidRDefault="001F6CE3">
      <w:r>
        <w:separator/>
      </w:r>
    </w:p>
  </w:footnote>
  <w:footnote w:type="continuationSeparator" w:id="0">
    <w:p w14:paraId="03C80332" w14:textId="77777777" w:rsidR="001F6CE3" w:rsidRDefault="001F6CE3">
      <w:r>
        <w:continuationSeparator/>
      </w:r>
    </w:p>
  </w:footnote>
  <w:footnote w:id="1">
    <w:p w14:paraId="0AE5234C" w14:textId="090A2C47" w:rsidR="00F06A6A" w:rsidRPr="00371C5B" w:rsidRDefault="00F06A6A" w:rsidP="00371C5B">
      <w:pPr>
        <w:pStyle w:val="DipnotMetni"/>
        <w:ind w:left="284" w:hanging="284"/>
        <w:jc w:val="both"/>
        <w:rPr>
          <w:lang w:val="en-IE"/>
        </w:rPr>
      </w:pPr>
      <w:r>
        <w:rPr>
          <w:rStyle w:val="DipnotBavurusu"/>
        </w:rPr>
        <w:footnoteRef/>
      </w:r>
      <w:r w:rsidR="004563EB">
        <w:tab/>
      </w:r>
      <w:r w:rsidRPr="005C423F">
        <w:rPr>
          <w:sz w:val="18"/>
          <w:szCs w:val="18"/>
        </w:rPr>
        <w:t>Please note that the EU Official Journal contains the official list of entities subject to restrictive measures and, in case of conflict, it prevails over the list of the </w:t>
      </w:r>
      <w:hyperlink r:id="rId1" w:anchor="/main" w:tgtFrame="_blank" w:history="1">
        <w:r w:rsidRPr="00E37E17">
          <w:rPr>
            <w:rStyle w:val="Kpr"/>
            <w:i/>
            <w:iCs/>
            <w:sz w:val="18"/>
            <w:szCs w:val="18"/>
          </w:rPr>
          <w:t>EU Sanctions Map</w:t>
        </w:r>
      </w:hyperlink>
      <w:r w:rsidRPr="005C423F">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A43FC" w14:textId="5F57361F" w:rsidR="00371C5B" w:rsidRDefault="00000000">
    <w:pPr>
      <w:pStyle w:val="stBilgi"/>
    </w:pPr>
    <w:r>
      <w:rPr>
        <w:rFonts w:ascii="Arial" w:eastAsia="Arial" w:hAnsi="Arial" w:cs="Arial"/>
        <w:noProof/>
        <w:snapToGrid/>
      </w:rPr>
      <w:pict w14:anchorId="5B661C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g" o:spid="_x0000_i1025" type="#_x0000_t75" style="width:453pt;height:78pt;visibility:visible;mso-wrap-style:squar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1F0001"/>
    <w:lvl w:ilvl="0">
      <w:start w:val="1"/>
      <w:numFmt w:val="bullet"/>
      <w:lvlText w:val=""/>
      <w:lvlJc w:val="left"/>
      <w:pPr>
        <w:ind w:left="1571"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06E43F2"/>
    <w:multiLevelType w:val="multilevel"/>
    <w:tmpl w:val="DE3EAE78"/>
    <w:lvl w:ilvl="0">
      <w:start w:val="1"/>
      <w:numFmt w:val="bullet"/>
      <w:lvlText w:val="●"/>
      <w:lvlJc w:val="left"/>
      <w:pPr>
        <w:ind w:left="1134" w:hanging="360"/>
      </w:pPr>
      <w:rPr>
        <w:rFonts w:ascii="Noto Sans Symbols" w:eastAsia="Noto Sans Symbols" w:hAnsi="Noto Sans Symbols" w:cs="Noto Sans Symbols"/>
      </w:rPr>
    </w:lvl>
    <w:lvl w:ilvl="1">
      <w:start w:val="1"/>
      <w:numFmt w:val="bullet"/>
      <w:lvlText w:val="o"/>
      <w:lvlJc w:val="left"/>
      <w:pPr>
        <w:ind w:left="1854" w:hanging="360"/>
      </w:pPr>
      <w:rPr>
        <w:rFonts w:ascii="Courier New" w:eastAsia="Courier New" w:hAnsi="Courier New" w:cs="Courier New"/>
      </w:rPr>
    </w:lvl>
    <w:lvl w:ilvl="2">
      <w:start w:val="1"/>
      <w:numFmt w:val="bullet"/>
      <w:lvlText w:val="▪"/>
      <w:lvlJc w:val="left"/>
      <w:pPr>
        <w:ind w:left="2574" w:hanging="360"/>
      </w:pPr>
      <w:rPr>
        <w:rFonts w:ascii="Noto Sans Symbols" w:eastAsia="Noto Sans Symbols" w:hAnsi="Noto Sans Symbols" w:cs="Noto Sans Symbols"/>
      </w:rPr>
    </w:lvl>
    <w:lvl w:ilvl="3">
      <w:start w:val="1"/>
      <w:numFmt w:val="bullet"/>
      <w:lvlText w:val="●"/>
      <w:lvlJc w:val="left"/>
      <w:pPr>
        <w:ind w:left="3294" w:hanging="360"/>
      </w:pPr>
      <w:rPr>
        <w:rFonts w:ascii="Noto Sans Symbols" w:eastAsia="Noto Sans Symbols" w:hAnsi="Noto Sans Symbols" w:cs="Noto Sans Symbols"/>
      </w:rPr>
    </w:lvl>
    <w:lvl w:ilvl="4">
      <w:start w:val="1"/>
      <w:numFmt w:val="bullet"/>
      <w:lvlText w:val="o"/>
      <w:lvlJc w:val="left"/>
      <w:pPr>
        <w:ind w:left="4014" w:hanging="360"/>
      </w:pPr>
      <w:rPr>
        <w:rFonts w:ascii="Courier New" w:eastAsia="Courier New" w:hAnsi="Courier New" w:cs="Courier New"/>
      </w:rPr>
    </w:lvl>
    <w:lvl w:ilvl="5">
      <w:start w:val="1"/>
      <w:numFmt w:val="bullet"/>
      <w:lvlText w:val="▪"/>
      <w:lvlJc w:val="left"/>
      <w:pPr>
        <w:ind w:left="4734" w:hanging="360"/>
      </w:pPr>
      <w:rPr>
        <w:rFonts w:ascii="Noto Sans Symbols" w:eastAsia="Noto Sans Symbols" w:hAnsi="Noto Sans Symbols" w:cs="Noto Sans Symbols"/>
      </w:rPr>
    </w:lvl>
    <w:lvl w:ilvl="6">
      <w:start w:val="1"/>
      <w:numFmt w:val="bullet"/>
      <w:lvlText w:val="●"/>
      <w:lvlJc w:val="left"/>
      <w:pPr>
        <w:ind w:left="5454" w:hanging="360"/>
      </w:pPr>
      <w:rPr>
        <w:rFonts w:ascii="Noto Sans Symbols" w:eastAsia="Noto Sans Symbols" w:hAnsi="Noto Sans Symbols" w:cs="Noto Sans Symbols"/>
      </w:rPr>
    </w:lvl>
    <w:lvl w:ilvl="7">
      <w:start w:val="1"/>
      <w:numFmt w:val="bullet"/>
      <w:lvlText w:val="o"/>
      <w:lvlJc w:val="left"/>
      <w:pPr>
        <w:ind w:left="6174" w:hanging="360"/>
      </w:pPr>
      <w:rPr>
        <w:rFonts w:ascii="Courier New" w:eastAsia="Courier New" w:hAnsi="Courier New" w:cs="Courier New"/>
      </w:rPr>
    </w:lvl>
    <w:lvl w:ilvl="8">
      <w:start w:val="1"/>
      <w:numFmt w:val="bullet"/>
      <w:lvlText w:val="▪"/>
      <w:lvlJc w:val="left"/>
      <w:pPr>
        <w:ind w:left="6894" w:hanging="360"/>
      </w:pPr>
      <w:rPr>
        <w:rFonts w:ascii="Noto Sans Symbols" w:eastAsia="Noto Sans Symbols" w:hAnsi="Noto Sans Symbols" w:cs="Noto Sans Symbols"/>
      </w:rPr>
    </w:lvl>
  </w:abstractNum>
  <w:abstractNum w:abstractNumId="38"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298C0D0F"/>
    <w:multiLevelType w:val="hybridMultilevel"/>
    <w:tmpl w:val="FFAE45C6"/>
    <w:lvl w:ilvl="0" w:tplc="FFFFFFFF">
      <w:start w:val="1"/>
      <w:numFmt w:val="decimal"/>
      <w:lvlText w:val="%1)"/>
      <w:lvlJc w:val="left"/>
      <w:pPr>
        <w:ind w:left="928" w:hanging="360"/>
      </w:pPr>
      <w:rPr>
        <w:rFonts w:hint="default"/>
        <w:b/>
        <w:u w:val="none"/>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4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44147B84"/>
    <w:multiLevelType w:val="hybridMultilevel"/>
    <w:tmpl w:val="FFAE45C6"/>
    <w:lvl w:ilvl="0" w:tplc="FFFFFFFF">
      <w:start w:val="1"/>
      <w:numFmt w:val="decimal"/>
      <w:lvlText w:val="%1)"/>
      <w:lvlJc w:val="left"/>
      <w:pPr>
        <w:ind w:left="928" w:hanging="360"/>
      </w:pPr>
      <w:rPr>
        <w:rFonts w:hint="default"/>
        <w:b/>
        <w:u w:val="none"/>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4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46D75D18"/>
    <w:multiLevelType w:val="hybridMultilevel"/>
    <w:tmpl w:val="54AA6360"/>
    <w:lvl w:ilvl="0" w:tplc="041F0001">
      <w:start w:val="1"/>
      <w:numFmt w:val="bullet"/>
      <w:lvlText w:val=""/>
      <w:lvlJc w:val="left"/>
      <w:pPr>
        <w:ind w:left="1437" w:hanging="360"/>
      </w:pPr>
      <w:rPr>
        <w:rFonts w:ascii="Symbol" w:hAnsi="Symbol" w:hint="default"/>
      </w:rPr>
    </w:lvl>
    <w:lvl w:ilvl="1" w:tplc="041F0003" w:tentative="1">
      <w:start w:val="1"/>
      <w:numFmt w:val="bullet"/>
      <w:lvlText w:val="o"/>
      <w:lvlJc w:val="left"/>
      <w:pPr>
        <w:ind w:left="2157" w:hanging="360"/>
      </w:pPr>
      <w:rPr>
        <w:rFonts w:ascii="Courier New" w:hAnsi="Courier New" w:cs="Courier New" w:hint="default"/>
      </w:rPr>
    </w:lvl>
    <w:lvl w:ilvl="2" w:tplc="041F0005" w:tentative="1">
      <w:start w:val="1"/>
      <w:numFmt w:val="bullet"/>
      <w:lvlText w:val=""/>
      <w:lvlJc w:val="left"/>
      <w:pPr>
        <w:ind w:left="2877" w:hanging="360"/>
      </w:pPr>
      <w:rPr>
        <w:rFonts w:ascii="Wingdings" w:hAnsi="Wingdings" w:hint="default"/>
      </w:rPr>
    </w:lvl>
    <w:lvl w:ilvl="3" w:tplc="041F0001" w:tentative="1">
      <w:start w:val="1"/>
      <w:numFmt w:val="bullet"/>
      <w:lvlText w:val=""/>
      <w:lvlJc w:val="left"/>
      <w:pPr>
        <w:ind w:left="3597" w:hanging="360"/>
      </w:pPr>
      <w:rPr>
        <w:rFonts w:ascii="Symbol" w:hAnsi="Symbol" w:hint="default"/>
      </w:rPr>
    </w:lvl>
    <w:lvl w:ilvl="4" w:tplc="041F0003" w:tentative="1">
      <w:start w:val="1"/>
      <w:numFmt w:val="bullet"/>
      <w:lvlText w:val="o"/>
      <w:lvlJc w:val="left"/>
      <w:pPr>
        <w:ind w:left="4317" w:hanging="360"/>
      </w:pPr>
      <w:rPr>
        <w:rFonts w:ascii="Courier New" w:hAnsi="Courier New" w:cs="Courier New" w:hint="default"/>
      </w:rPr>
    </w:lvl>
    <w:lvl w:ilvl="5" w:tplc="041F0005" w:tentative="1">
      <w:start w:val="1"/>
      <w:numFmt w:val="bullet"/>
      <w:lvlText w:val=""/>
      <w:lvlJc w:val="left"/>
      <w:pPr>
        <w:ind w:left="5037" w:hanging="360"/>
      </w:pPr>
      <w:rPr>
        <w:rFonts w:ascii="Wingdings" w:hAnsi="Wingdings" w:hint="default"/>
      </w:rPr>
    </w:lvl>
    <w:lvl w:ilvl="6" w:tplc="041F0001" w:tentative="1">
      <w:start w:val="1"/>
      <w:numFmt w:val="bullet"/>
      <w:lvlText w:val=""/>
      <w:lvlJc w:val="left"/>
      <w:pPr>
        <w:ind w:left="5757" w:hanging="360"/>
      </w:pPr>
      <w:rPr>
        <w:rFonts w:ascii="Symbol" w:hAnsi="Symbol" w:hint="default"/>
      </w:rPr>
    </w:lvl>
    <w:lvl w:ilvl="7" w:tplc="041F0003" w:tentative="1">
      <w:start w:val="1"/>
      <w:numFmt w:val="bullet"/>
      <w:lvlText w:val="o"/>
      <w:lvlJc w:val="left"/>
      <w:pPr>
        <w:ind w:left="6477" w:hanging="360"/>
      </w:pPr>
      <w:rPr>
        <w:rFonts w:ascii="Courier New" w:hAnsi="Courier New" w:cs="Courier New" w:hint="default"/>
      </w:rPr>
    </w:lvl>
    <w:lvl w:ilvl="8" w:tplc="041F0005" w:tentative="1">
      <w:start w:val="1"/>
      <w:numFmt w:val="bullet"/>
      <w:lvlText w:val=""/>
      <w:lvlJc w:val="left"/>
      <w:pPr>
        <w:ind w:left="7197" w:hanging="360"/>
      </w:pPr>
      <w:rPr>
        <w:rFonts w:ascii="Wingdings" w:hAnsi="Wingdings" w:hint="default"/>
      </w:rPr>
    </w:lvl>
  </w:abstractNum>
  <w:abstractNum w:abstractNumId="46"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A127F05"/>
    <w:multiLevelType w:val="hybridMultilevel"/>
    <w:tmpl w:val="9E4E9AA8"/>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49"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70721D82"/>
    <w:multiLevelType w:val="hybridMultilevel"/>
    <w:tmpl w:val="FFAE45C6"/>
    <w:lvl w:ilvl="0" w:tplc="395C0D6A">
      <w:start w:val="1"/>
      <w:numFmt w:val="decimal"/>
      <w:lvlText w:val="%1)"/>
      <w:lvlJc w:val="left"/>
      <w:pPr>
        <w:ind w:left="928" w:hanging="360"/>
      </w:pPr>
      <w:rPr>
        <w:rFonts w:hint="default"/>
        <w:b/>
        <w:u w:val="none"/>
      </w:rPr>
    </w:lvl>
    <w:lvl w:ilvl="1" w:tplc="080C0019" w:tentative="1">
      <w:start w:val="1"/>
      <w:numFmt w:val="lowerLetter"/>
      <w:lvlText w:val="%2."/>
      <w:lvlJc w:val="left"/>
      <w:pPr>
        <w:ind w:left="1648" w:hanging="360"/>
      </w:pPr>
    </w:lvl>
    <w:lvl w:ilvl="2" w:tplc="080C001B" w:tentative="1">
      <w:start w:val="1"/>
      <w:numFmt w:val="lowerRoman"/>
      <w:lvlText w:val="%3."/>
      <w:lvlJc w:val="right"/>
      <w:pPr>
        <w:ind w:left="2368" w:hanging="180"/>
      </w:pPr>
    </w:lvl>
    <w:lvl w:ilvl="3" w:tplc="080C000F" w:tentative="1">
      <w:start w:val="1"/>
      <w:numFmt w:val="decimal"/>
      <w:lvlText w:val="%4."/>
      <w:lvlJc w:val="left"/>
      <w:pPr>
        <w:ind w:left="3088" w:hanging="360"/>
      </w:pPr>
    </w:lvl>
    <w:lvl w:ilvl="4" w:tplc="080C0019" w:tentative="1">
      <w:start w:val="1"/>
      <w:numFmt w:val="lowerLetter"/>
      <w:lvlText w:val="%5."/>
      <w:lvlJc w:val="left"/>
      <w:pPr>
        <w:ind w:left="3808" w:hanging="360"/>
      </w:pPr>
    </w:lvl>
    <w:lvl w:ilvl="5" w:tplc="080C001B" w:tentative="1">
      <w:start w:val="1"/>
      <w:numFmt w:val="lowerRoman"/>
      <w:lvlText w:val="%6."/>
      <w:lvlJc w:val="right"/>
      <w:pPr>
        <w:ind w:left="4528" w:hanging="180"/>
      </w:pPr>
    </w:lvl>
    <w:lvl w:ilvl="6" w:tplc="080C000F" w:tentative="1">
      <w:start w:val="1"/>
      <w:numFmt w:val="decimal"/>
      <w:lvlText w:val="%7."/>
      <w:lvlJc w:val="left"/>
      <w:pPr>
        <w:ind w:left="5248" w:hanging="360"/>
      </w:pPr>
    </w:lvl>
    <w:lvl w:ilvl="7" w:tplc="080C0019" w:tentative="1">
      <w:start w:val="1"/>
      <w:numFmt w:val="lowerLetter"/>
      <w:lvlText w:val="%8."/>
      <w:lvlJc w:val="left"/>
      <w:pPr>
        <w:ind w:left="5968" w:hanging="360"/>
      </w:pPr>
    </w:lvl>
    <w:lvl w:ilvl="8" w:tplc="080C001B" w:tentative="1">
      <w:start w:val="1"/>
      <w:numFmt w:val="lowerRoman"/>
      <w:lvlText w:val="%9."/>
      <w:lvlJc w:val="right"/>
      <w:pPr>
        <w:ind w:left="6688" w:hanging="180"/>
      </w:pPr>
    </w:lvl>
  </w:abstractNum>
  <w:num w:numId="1" w16cid:durableId="3647145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46932769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57362816">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60538617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333076793">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22545592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907154549">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52751817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55206007">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772483209">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53041134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28554959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489905446">
    <w:abstractNumId w:val="17"/>
  </w:num>
  <w:num w:numId="14" w16cid:durableId="900941718">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488911817">
    <w:abstractNumId w:val="13"/>
  </w:num>
  <w:num w:numId="16" w16cid:durableId="1487865913">
    <w:abstractNumId w:val="15"/>
  </w:num>
  <w:num w:numId="17" w16cid:durableId="149881319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2041082875">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390300068">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217281276">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0847919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116943191">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592323818">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88259760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375207154">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150170389">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561257859">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430275874">
    <w:abstractNumId w:val="27"/>
  </w:num>
  <w:num w:numId="29" w16cid:durableId="1988319320">
    <w:abstractNumId w:val="27"/>
  </w:num>
  <w:num w:numId="30" w16cid:durableId="703988421">
    <w:abstractNumId w:val="27"/>
  </w:num>
  <w:num w:numId="31" w16cid:durableId="1100031049">
    <w:abstractNumId w:val="27"/>
  </w:num>
  <w:num w:numId="32" w16cid:durableId="1046174258">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710451612">
    <w:abstractNumId w:val="36"/>
  </w:num>
  <w:num w:numId="34" w16cid:durableId="109445180">
    <w:abstractNumId w:val="44"/>
  </w:num>
  <w:num w:numId="35" w16cid:durableId="1194658249">
    <w:abstractNumId w:val="35"/>
  </w:num>
  <w:num w:numId="36" w16cid:durableId="504172728">
    <w:abstractNumId w:val="33"/>
  </w:num>
  <w:num w:numId="37" w16cid:durableId="1419789896">
    <w:abstractNumId w:val="38"/>
  </w:num>
  <w:num w:numId="38" w16cid:durableId="903875536">
    <w:abstractNumId w:val="41"/>
  </w:num>
  <w:num w:numId="39" w16cid:durableId="819006310">
    <w:abstractNumId w:val="47"/>
  </w:num>
  <w:num w:numId="40" w16cid:durableId="808743279">
    <w:abstractNumId w:val="49"/>
  </w:num>
  <w:num w:numId="41" w16cid:durableId="2073497912">
    <w:abstractNumId w:val="42"/>
  </w:num>
  <w:num w:numId="42" w16cid:durableId="2004434630">
    <w:abstractNumId w:val="46"/>
  </w:num>
  <w:num w:numId="43" w16cid:durableId="515850950">
    <w:abstractNumId w:val="39"/>
  </w:num>
  <w:num w:numId="44" w16cid:durableId="1728451762">
    <w:abstractNumId w:val="34"/>
  </w:num>
  <w:num w:numId="45" w16cid:durableId="799767343">
    <w:abstractNumId w:val="50"/>
  </w:num>
  <w:num w:numId="46" w16cid:durableId="1105536855">
    <w:abstractNumId w:val="45"/>
  </w:num>
  <w:num w:numId="47" w16cid:durableId="1860392030">
    <w:abstractNumId w:val="37"/>
  </w:num>
  <w:num w:numId="48" w16cid:durableId="345983240">
    <w:abstractNumId w:val="48"/>
  </w:num>
  <w:num w:numId="49" w16cid:durableId="1307396612">
    <w:abstractNumId w:val="43"/>
  </w:num>
  <w:num w:numId="50" w16cid:durableId="53877962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tr-T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3D92"/>
    <w:rsid w:val="00033EFD"/>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3314C"/>
    <w:rsid w:val="001413D4"/>
    <w:rsid w:val="001429BC"/>
    <w:rsid w:val="0014405E"/>
    <w:rsid w:val="00145CFA"/>
    <w:rsid w:val="00150687"/>
    <w:rsid w:val="001661F7"/>
    <w:rsid w:val="00171F2E"/>
    <w:rsid w:val="00172785"/>
    <w:rsid w:val="00180D47"/>
    <w:rsid w:val="00185630"/>
    <w:rsid w:val="001903F3"/>
    <w:rsid w:val="001951FE"/>
    <w:rsid w:val="001A59BB"/>
    <w:rsid w:val="001A66C2"/>
    <w:rsid w:val="001B2571"/>
    <w:rsid w:val="001C21A2"/>
    <w:rsid w:val="001C64F1"/>
    <w:rsid w:val="001D19A6"/>
    <w:rsid w:val="001D55F7"/>
    <w:rsid w:val="001D7B2B"/>
    <w:rsid w:val="001E50A2"/>
    <w:rsid w:val="001F0839"/>
    <w:rsid w:val="001F1546"/>
    <w:rsid w:val="001F6CE3"/>
    <w:rsid w:val="001F780C"/>
    <w:rsid w:val="00201320"/>
    <w:rsid w:val="00202C8E"/>
    <w:rsid w:val="002065E9"/>
    <w:rsid w:val="002078BB"/>
    <w:rsid w:val="00212656"/>
    <w:rsid w:val="002134CD"/>
    <w:rsid w:val="00213E14"/>
    <w:rsid w:val="00216179"/>
    <w:rsid w:val="00226829"/>
    <w:rsid w:val="00233B9D"/>
    <w:rsid w:val="00233DDA"/>
    <w:rsid w:val="00235A71"/>
    <w:rsid w:val="002413EA"/>
    <w:rsid w:val="00243849"/>
    <w:rsid w:val="00247B53"/>
    <w:rsid w:val="002575AA"/>
    <w:rsid w:val="00266EB9"/>
    <w:rsid w:val="002753AD"/>
    <w:rsid w:val="002845CD"/>
    <w:rsid w:val="00287536"/>
    <w:rsid w:val="002B2145"/>
    <w:rsid w:val="002D266E"/>
    <w:rsid w:val="002D4121"/>
    <w:rsid w:val="002E1B83"/>
    <w:rsid w:val="002E25ED"/>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47E84"/>
    <w:rsid w:val="003574F5"/>
    <w:rsid w:val="00357E25"/>
    <w:rsid w:val="00362824"/>
    <w:rsid w:val="00363ECB"/>
    <w:rsid w:val="00364564"/>
    <w:rsid w:val="003670BA"/>
    <w:rsid w:val="003717BC"/>
    <w:rsid w:val="00371C5B"/>
    <w:rsid w:val="00382741"/>
    <w:rsid w:val="003854AC"/>
    <w:rsid w:val="003861D9"/>
    <w:rsid w:val="0038633F"/>
    <w:rsid w:val="00386E96"/>
    <w:rsid w:val="0038796E"/>
    <w:rsid w:val="00391317"/>
    <w:rsid w:val="0039147E"/>
    <w:rsid w:val="00391D5F"/>
    <w:rsid w:val="0039347D"/>
    <w:rsid w:val="003947E7"/>
    <w:rsid w:val="00397073"/>
    <w:rsid w:val="003A4357"/>
    <w:rsid w:val="003B0850"/>
    <w:rsid w:val="003B1B35"/>
    <w:rsid w:val="003C1515"/>
    <w:rsid w:val="003D16FB"/>
    <w:rsid w:val="003D6CAD"/>
    <w:rsid w:val="003E782D"/>
    <w:rsid w:val="0040360C"/>
    <w:rsid w:val="004108A4"/>
    <w:rsid w:val="00424124"/>
    <w:rsid w:val="0043533D"/>
    <w:rsid w:val="00452ED8"/>
    <w:rsid w:val="0045494F"/>
    <w:rsid w:val="004563EB"/>
    <w:rsid w:val="004567DF"/>
    <w:rsid w:val="004620D4"/>
    <w:rsid w:val="00472630"/>
    <w:rsid w:val="00473883"/>
    <w:rsid w:val="00476D80"/>
    <w:rsid w:val="00480B5C"/>
    <w:rsid w:val="00480C87"/>
    <w:rsid w:val="004850B4"/>
    <w:rsid w:val="004901C2"/>
    <w:rsid w:val="004957E5"/>
    <w:rsid w:val="004B2366"/>
    <w:rsid w:val="004C21CC"/>
    <w:rsid w:val="004C49B2"/>
    <w:rsid w:val="004D031B"/>
    <w:rsid w:val="004D5EDB"/>
    <w:rsid w:val="004E083B"/>
    <w:rsid w:val="004E1482"/>
    <w:rsid w:val="004E69A4"/>
    <w:rsid w:val="004E6C3D"/>
    <w:rsid w:val="004F00C7"/>
    <w:rsid w:val="004F34C4"/>
    <w:rsid w:val="004F3BBC"/>
    <w:rsid w:val="004F4A09"/>
    <w:rsid w:val="004F7E9D"/>
    <w:rsid w:val="00500756"/>
    <w:rsid w:val="00500794"/>
    <w:rsid w:val="00502217"/>
    <w:rsid w:val="00502BBF"/>
    <w:rsid w:val="00503CD9"/>
    <w:rsid w:val="005046CD"/>
    <w:rsid w:val="00505437"/>
    <w:rsid w:val="005070DB"/>
    <w:rsid w:val="00513F0F"/>
    <w:rsid w:val="0051622A"/>
    <w:rsid w:val="00517ADA"/>
    <w:rsid w:val="0054183B"/>
    <w:rsid w:val="005462B4"/>
    <w:rsid w:val="00551429"/>
    <w:rsid w:val="00553C32"/>
    <w:rsid w:val="00557EAC"/>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0C84"/>
    <w:rsid w:val="005D41DD"/>
    <w:rsid w:val="005F0AF0"/>
    <w:rsid w:val="005F776D"/>
    <w:rsid w:val="0060359F"/>
    <w:rsid w:val="0061336A"/>
    <w:rsid w:val="006277AA"/>
    <w:rsid w:val="006309DE"/>
    <w:rsid w:val="00632BDC"/>
    <w:rsid w:val="0064390B"/>
    <w:rsid w:val="00663C6D"/>
    <w:rsid w:val="006714ED"/>
    <w:rsid w:val="006738B9"/>
    <w:rsid w:val="00674F9C"/>
    <w:rsid w:val="006751D2"/>
    <w:rsid w:val="006770CA"/>
    <w:rsid w:val="00686C3A"/>
    <w:rsid w:val="00697F82"/>
    <w:rsid w:val="006A0598"/>
    <w:rsid w:val="006A66DA"/>
    <w:rsid w:val="006A6B2D"/>
    <w:rsid w:val="006A7394"/>
    <w:rsid w:val="006A77E9"/>
    <w:rsid w:val="006B2EDA"/>
    <w:rsid w:val="006B59B9"/>
    <w:rsid w:val="006C0EB6"/>
    <w:rsid w:val="006C0F37"/>
    <w:rsid w:val="006C2024"/>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30668"/>
    <w:rsid w:val="007471C5"/>
    <w:rsid w:val="00750FF8"/>
    <w:rsid w:val="00751AAF"/>
    <w:rsid w:val="00753FC2"/>
    <w:rsid w:val="00756C38"/>
    <w:rsid w:val="00761673"/>
    <w:rsid w:val="00761893"/>
    <w:rsid w:val="007653F4"/>
    <w:rsid w:val="007672D6"/>
    <w:rsid w:val="00770822"/>
    <w:rsid w:val="00771F85"/>
    <w:rsid w:val="00771F97"/>
    <w:rsid w:val="007727F3"/>
    <w:rsid w:val="00780EAB"/>
    <w:rsid w:val="00781603"/>
    <w:rsid w:val="007874C8"/>
    <w:rsid w:val="00787BB5"/>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0CDB"/>
    <w:rsid w:val="008272C0"/>
    <w:rsid w:val="00831982"/>
    <w:rsid w:val="008323D3"/>
    <w:rsid w:val="008351FF"/>
    <w:rsid w:val="00846F87"/>
    <w:rsid w:val="00862885"/>
    <w:rsid w:val="008660AD"/>
    <w:rsid w:val="0087086B"/>
    <w:rsid w:val="00870FC9"/>
    <w:rsid w:val="00881C2D"/>
    <w:rsid w:val="00886ED7"/>
    <w:rsid w:val="00894E29"/>
    <w:rsid w:val="0089693D"/>
    <w:rsid w:val="008A1184"/>
    <w:rsid w:val="008A1514"/>
    <w:rsid w:val="008B0830"/>
    <w:rsid w:val="008B77CD"/>
    <w:rsid w:val="008C3178"/>
    <w:rsid w:val="008C459E"/>
    <w:rsid w:val="008C68A0"/>
    <w:rsid w:val="008D1243"/>
    <w:rsid w:val="008D3E45"/>
    <w:rsid w:val="008E13D5"/>
    <w:rsid w:val="008E2D12"/>
    <w:rsid w:val="008E4DA7"/>
    <w:rsid w:val="008F294D"/>
    <w:rsid w:val="009017AA"/>
    <w:rsid w:val="009055F3"/>
    <w:rsid w:val="0090581D"/>
    <w:rsid w:val="009066B6"/>
    <w:rsid w:val="00907556"/>
    <w:rsid w:val="00913817"/>
    <w:rsid w:val="0092504E"/>
    <w:rsid w:val="00925F7F"/>
    <w:rsid w:val="009260B8"/>
    <w:rsid w:val="0092698A"/>
    <w:rsid w:val="0092731B"/>
    <w:rsid w:val="009317C0"/>
    <w:rsid w:val="009352F4"/>
    <w:rsid w:val="00940E1D"/>
    <w:rsid w:val="009510CB"/>
    <w:rsid w:val="00952960"/>
    <w:rsid w:val="00954FB8"/>
    <w:rsid w:val="00956BA0"/>
    <w:rsid w:val="0096032B"/>
    <w:rsid w:val="009707C4"/>
    <w:rsid w:val="00970A93"/>
    <w:rsid w:val="00970B01"/>
    <w:rsid w:val="00971962"/>
    <w:rsid w:val="00971CC5"/>
    <w:rsid w:val="00980AEA"/>
    <w:rsid w:val="00991002"/>
    <w:rsid w:val="00994EA3"/>
    <w:rsid w:val="009A38DE"/>
    <w:rsid w:val="009A3AE6"/>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37271"/>
    <w:rsid w:val="00A433A6"/>
    <w:rsid w:val="00A43E7A"/>
    <w:rsid w:val="00A46ED3"/>
    <w:rsid w:val="00A504E1"/>
    <w:rsid w:val="00A609E7"/>
    <w:rsid w:val="00A666EC"/>
    <w:rsid w:val="00A74B07"/>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51541"/>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C7937"/>
    <w:rsid w:val="00BD65BA"/>
    <w:rsid w:val="00BD69EF"/>
    <w:rsid w:val="00BE08EC"/>
    <w:rsid w:val="00BE3544"/>
    <w:rsid w:val="00BE4174"/>
    <w:rsid w:val="00BE595A"/>
    <w:rsid w:val="00BE5F29"/>
    <w:rsid w:val="00BE783C"/>
    <w:rsid w:val="00C00D44"/>
    <w:rsid w:val="00C03AF5"/>
    <w:rsid w:val="00C040C5"/>
    <w:rsid w:val="00C04FCE"/>
    <w:rsid w:val="00C067C5"/>
    <w:rsid w:val="00C0772E"/>
    <w:rsid w:val="00C147B2"/>
    <w:rsid w:val="00C15A17"/>
    <w:rsid w:val="00C171B6"/>
    <w:rsid w:val="00C2011B"/>
    <w:rsid w:val="00C2062A"/>
    <w:rsid w:val="00C25EF9"/>
    <w:rsid w:val="00C30183"/>
    <w:rsid w:val="00C316FC"/>
    <w:rsid w:val="00C3644F"/>
    <w:rsid w:val="00C36666"/>
    <w:rsid w:val="00C43AAC"/>
    <w:rsid w:val="00C460D8"/>
    <w:rsid w:val="00C52B1A"/>
    <w:rsid w:val="00C5322B"/>
    <w:rsid w:val="00C61B8C"/>
    <w:rsid w:val="00C640A4"/>
    <w:rsid w:val="00C712DE"/>
    <w:rsid w:val="00C836E5"/>
    <w:rsid w:val="00C83C65"/>
    <w:rsid w:val="00C840D0"/>
    <w:rsid w:val="00C843AC"/>
    <w:rsid w:val="00C867B9"/>
    <w:rsid w:val="00CA3B1B"/>
    <w:rsid w:val="00CB23E3"/>
    <w:rsid w:val="00CB2A5B"/>
    <w:rsid w:val="00CB759D"/>
    <w:rsid w:val="00CB7AAE"/>
    <w:rsid w:val="00CC0A41"/>
    <w:rsid w:val="00CC3BA0"/>
    <w:rsid w:val="00CC48C9"/>
    <w:rsid w:val="00CD5089"/>
    <w:rsid w:val="00CD765A"/>
    <w:rsid w:val="00CE49A1"/>
    <w:rsid w:val="00CF4B4B"/>
    <w:rsid w:val="00CF68E8"/>
    <w:rsid w:val="00CF759C"/>
    <w:rsid w:val="00D00216"/>
    <w:rsid w:val="00D011CD"/>
    <w:rsid w:val="00D06A30"/>
    <w:rsid w:val="00D14A9D"/>
    <w:rsid w:val="00D17A30"/>
    <w:rsid w:val="00D225CC"/>
    <w:rsid w:val="00D22682"/>
    <w:rsid w:val="00D2292F"/>
    <w:rsid w:val="00D240C3"/>
    <w:rsid w:val="00D2786B"/>
    <w:rsid w:val="00D32849"/>
    <w:rsid w:val="00D33DD9"/>
    <w:rsid w:val="00D434A7"/>
    <w:rsid w:val="00D46724"/>
    <w:rsid w:val="00D517A4"/>
    <w:rsid w:val="00D51C7E"/>
    <w:rsid w:val="00D549F4"/>
    <w:rsid w:val="00D626F7"/>
    <w:rsid w:val="00D64101"/>
    <w:rsid w:val="00D8773C"/>
    <w:rsid w:val="00D87D0A"/>
    <w:rsid w:val="00D93082"/>
    <w:rsid w:val="00D97139"/>
    <w:rsid w:val="00DA0ABA"/>
    <w:rsid w:val="00DA388D"/>
    <w:rsid w:val="00DB00EA"/>
    <w:rsid w:val="00DC0253"/>
    <w:rsid w:val="00DC4F70"/>
    <w:rsid w:val="00DC753D"/>
    <w:rsid w:val="00DD0CD4"/>
    <w:rsid w:val="00DD4A90"/>
    <w:rsid w:val="00DE3C11"/>
    <w:rsid w:val="00DF04F0"/>
    <w:rsid w:val="00E128DF"/>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6A6A"/>
    <w:rsid w:val="00F07EE2"/>
    <w:rsid w:val="00F1778E"/>
    <w:rsid w:val="00F17A90"/>
    <w:rsid w:val="00F233FF"/>
    <w:rsid w:val="00F27C45"/>
    <w:rsid w:val="00F31133"/>
    <w:rsid w:val="00F33C45"/>
    <w:rsid w:val="00F36AE6"/>
    <w:rsid w:val="00F43943"/>
    <w:rsid w:val="00F46873"/>
    <w:rsid w:val="00F4786D"/>
    <w:rsid w:val="00F504CC"/>
    <w:rsid w:val="00F50E8B"/>
    <w:rsid w:val="00F60220"/>
    <w:rsid w:val="00F7260A"/>
    <w:rsid w:val="00F76A8F"/>
    <w:rsid w:val="00F77C8A"/>
    <w:rsid w:val="00F86AAA"/>
    <w:rsid w:val="00F9055E"/>
    <w:rsid w:val="00F91683"/>
    <w:rsid w:val="00FA17FC"/>
    <w:rsid w:val="00FB17AC"/>
    <w:rsid w:val="00FC4D97"/>
    <w:rsid w:val="00FC622D"/>
    <w:rsid w:val="00FD5083"/>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7B53"/>
    <w:pPr>
      <w:widowControl w:val="0"/>
      <w:spacing w:before="100" w:after="100"/>
    </w:pPr>
    <w:rPr>
      <w:snapToGrid w:val="0"/>
      <w:sz w:val="24"/>
      <w:lang w:val="en-US" w:eastAsia="en-US"/>
    </w:rPr>
  </w:style>
  <w:style w:type="paragraph" w:styleId="Balk2">
    <w:name w:val="heading 2"/>
    <w:basedOn w:val="Normal"/>
    <w:next w:val="Normal"/>
    <w:qFormat/>
    <w:rsid w:val="007D6292"/>
    <w:pPr>
      <w:keepNext/>
      <w:widowControl/>
      <w:spacing w:before="120" w:after="120"/>
      <w:outlineLvl w:val="1"/>
    </w:pPr>
    <w:rPr>
      <w:rFonts w:ascii="Arial" w:hAnsi="Arial"/>
      <w:sz w:val="20"/>
      <w:lang w:val="fr-BE"/>
    </w:rPr>
  </w:style>
  <w:style w:type="paragraph" w:styleId="Balk4">
    <w:name w:val="heading 4"/>
    <w:basedOn w:val="Normal"/>
    <w:next w:val="Normal"/>
    <w:link w:val="Balk4Char"/>
    <w:semiHidden/>
    <w:unhideWhenUsed/>
    <w:qFormat/>
    <w:rsid w:val="009B5369"/>
    <w:pPr>
      <w:keepNext/>
      <w:spacing w:before="240" w:after="60"/>
      <w:outlineLvl w:val="3"/>
    </w:pPr>
    <w:rPr>
      <w:rFonts w:ascii="Calibri" w:hAnsi="Calibri"/>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Vurgu">
    <w:name w:val="Emphasis"/>
    <w:uiPriority w:val="20"/>
    <w:qFormat/>
    <w:rPr>
      <w:i/>
    </w:rPr>
  </w:style>
  <w:style w:type="character" w:styleId="Kpr">
    <w:name w:val="Hyperlink"/>
    <w:rPr>
      <w:color w:val="0000FF"/>
      <w:u w:val="single"/>
    </w:rPr>
  </w:style>
  <w:style w:type="character" w:styleId="zlenenKpr">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ormunAlt">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Formunst">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Gl">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BelgeBalantlar">
    <w:name w:val="Document Map"/>
    <w:basedOn w:val="Normal"/>
    <w:semiHidden/>
    <w:pPr>
      <w:shd w:val="clear" w:color="auto" w:fill="000080"/>
    </w:pPr>
    <w:rPr>
      <w:rFonts w:ascii="Tahoma" w:hAnsi="Tahoma"/>
    </w:rPr>
  </w:style>
  <w:style w:type="paragraph" w:styleId="stBilgi">
    <w:name w:val="header"/>
    <w:basedOn w:val="Normal"/>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rsid w:val="007F095B"/>
  </w:style>
  <w:style w:type="paragraph" w:styleId="GvdeMetni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DipnotMetni">
    <w:name w:val="footnote text"/>
    <w:aliases w:val="Fußnote,Fußnotentextf,Note de bas de page Car Car Car Car Car Car Car Car Car Car,Note de bas de page Car Car Car Car,Note de bas de page Car Car Car Car Car Car Car Car Car,ft,f"/>
    <w:basedOn w:val="Normal"/>
    <w:link w:val="DipnotMetniChar"/>
    <w:uiPriority w:val="99"/>
    <w:rsid w:val="001951FE"/>
    <w:rPr>
      <w:sz w:val="20"/>
    </w:rPr>
  </w:style>
  <w:style w:type="character" w:styleId="DipnotBavurusu">
    <w:name w:val="footnote reference"/>
    <w:aliases w:val="BVI fnr,(Footnote Reference),SUPERS,Footnote Reference/,Footnote symbol,Footnotes refss,Footnote Reference Superscript,Footnote,Footnote reference number,note TESI,EN Footnote Reference,Voetnootverwijzing,Times 10 Point,No,Re"/>
    <w:qFormat/>
    <w:rsid w:val="001951FE"/>
    <w:rPr>
      <w:vertAlign w:val="superscript"/>
    </w:rPr>
  </w:style>
  <w:style w:type="character" w:customStyle="1" w:styleId="AltBilgiChar">
    <w:name w:val="Alt Bilgi Char"/>
    <w:link w:val="AltBilgi"/>
    <w:rsid w:val="007727F3"/>
    <w:rPr>
      <w:snapToGrid w:val="0"/>
      <w:sz w:val="24"/>
      <w:lang w:val="en-US" w:eastAsia="en-US"/>
    </w:rPr>
  </w:style>
  <w:style w:type="paragraph" w:styleId="BalonMetni">
    <w:name w:val="Balloon Text"/>
    <w:basedOn w:val="Normal"/>
    <w:link w:val="BalonMetniChar"/>
    <w:rsid w:val="00D240C3"/>
    <w:pPr>
      <w:spacing w:before="0" w:after="0"/>
    </w:pPr>
    <w:rPr>
      <w:rFonts w:ascii="Tahoma" w:hAnsi="Tahoma" w:cs="Tahoma"/>
      <w:sz w:val="16"/>
      <w:szCs w:val="16"/>
    </w:rPr>
  </w:style>
  <w:style w:type="character" w:customStyle="1" w:styleId="BalonMetniChar">
    <w:name w:val="Balon Metni Char"/>
    <w:link w:val="BalonMetni"/>
    <w:rsid w:val="00D240C3"/>
    <w:rPr>
      <w:rFonts w:ascii="Tahoma" w:hAnsi="Tahoma" w:cs="Tahoma"/>
      <w:snapToGrid w:val="0"/>
      <w:sz w:val="16"/>
      <w:szCs w:val="16"/>
      <w:lang w:val="en-US" w:eastAsia="en-US"/>
    </w:rPr>
  </w:style>
  <w:style w:type="character" w:styleId="AklamaBavurusu">
    <w:name w:val="annotation reference"/>
    <w:rsid w:val="009B69BE"/>
    <w:rPr>
      <w:sz w:val="16"/>
      <w:szCs w:val="16"/>
    </w:rPr>
  </w:style>
  <w:style w:type="paragraph" w:styleId="AklamaMetni">
    <w:name w:val="annotation text"/>
    <w:basedOn w:val="Normal"/>
    <w:link w:val="AklamaMetniChar"/>
    <w:rsid w:val="009B69BE"/>
    <w:rPr>
      <w:sz w:val="20"/>
    </w:rPr>
  </w:style>
  <w:style w:type="character" w:customStyle="1" w:styleId="AklamaMetniChar">
    <w:name w:val="Açıklama Metni Char"/>
    <w:link w:val="AklamaMetni"/>
    <w:rsid w:val="009B69BE"/>
    <w:rPr>
      <w:snapToGrid w:val="0"/>
      <w:lang w:val="en-US" w:eastAsia="en-US"/>
    </w:rPr>
  </w:style>
  <w:style w:type="paragraph" w:styleId="AklamaKonusu">
    <w:name w:val="annotation subject"/>
    <w:basedOn w:val="AklamaMetni"/>
    <w:next w:val="AklamaMetni"/>
    <w:link w:val="AklamaKonusuChar"/>
    <w:rsid w:val="009B69BE"/>
    <w:rPr>
      <w:b/>
      <w:bCs/>
    </w:rPr>
  </w:style>
  <w:style w:type="character" w:customStyle="1" w:styleId="AklamaKonusuChar">
    <w:name w:val="Açıklama Konusu Char"/>
    <w:link w:val="AklamaKonusu"/>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Altyaz">
    <w:name w:val="Subtitle"/>
    <w:basedOn w:val="Normal"/>
    <w:link w:val="AltyazChar"/>
    <w:qFormat/>
    <w:rsid w:val="00A36F1C"/>
    <w:pPr>
      <w:widowControl/>
      <w:spacing w:before="0" w:after="0"/>
      <w:jc w:val="center"/>
    </w:pPr>
    <w:rPr>
      <w:b/>
      <w:snapToGrid/>
      <w:sz w:val="28"/>
      <w:lang w:val="fr-BE" w:eastAsia="en-GB"/>
    </w:rPr>
  </w:style>
  <w:style w:type="character" w:customStyle="1" w:styleId="AltyazChar">
    <w:name w:val="Altyazı Char"/>
    <w:link w:val="Altyaz"/>
    <w:rsid w:val="00A36F1C"/>
    <w:rPr>
      <w:b/>
      <w:sz w:val="28"/>
      <w:lang w:val="fr-BE"/>
    </w:rPr>
  </w:style>
  <w:style w:type="character" w:customStyle="1" w:styleId="DipnotMetniChar">
    <w:name w:val="Dipnot Metni Char"/>
    <w:aliases w:val="Fußnote Char,Fußnotentextf Char,Note de bas de page Car Car Car Car Car Car Car Car Car Car Char,Note de bas de page Car Car Car Car Char,Note de bas de page Car Car Car Car Car Car Car Car Car Char,ft Char,f Char"/>
    <w:link w:val="DipnotMetni"/>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eParagraf">
    <w:name w:val="List Paragraph"/>
    <w:basedOn w:val="Normal"/>
    <w:uiPriority w:val="34"/>
    <w:qFormat/>
    <w:rsid w:val="00B9793F"/>
    <w:pPr>
      <w:ind w:left="720"/>
    </w:pPr>
  </w:style>
  <w:style w:type="paragraph" w:styleId="Dzeltme">
    <w:name w:val="Revision"/>
    <w:hidden/>
    <w:uiPriority w:val="99"/>
    <w:semiHidden/>
    <w:rsid w:val="00D97139"/>
    <w:rPr>
      <w:snapToGrid w:val="0"/>
      <w:sz w:val="24"/>
      <w:lang w:val="en-US" w:eastAsia="en-US"/>
    </w:rPr>
  </w:style>
  <w:style w:type="character" w:customStyle="1" w:styleId="Balk4Char">
    <w:name w:val="Başlık 4 Char"/>
    <w:link w:val="Balk4"/>
    <w:semiHidden/>
    <w:rsid w:val="009B5369"/>
    <w:rPr>
      <w:rFonts w:ascii="Calibri" w:eastAsia="Times New Roman" w:hAnsi="Calibri" w:cs="Times New Roman"/>
      <w:b/>
      <w:bCs/>
      <w:snapToGrid w:val="0"/>
      <w:sz w:val="28"/>
      <w:szCs w:val="28"/>
      <w:lang w:val="en-US" w:eastAsia="en-US"/>
    </w:rPr>
  </w:style>
  <w:style w:type="paragraph" w:customStyle="1" w:styleId="Default">
    <w:name w:val="Default"/>
    <w:rsid w:val="0092504E"/>
    <w:pPr>
      <w:autoSpaceDE w:val="0"/>
      <w:autoSpaceDN w:val="0"/>
      <w:adjustRightInd w:val="0"/>
    </w:pPr>
    <w:rPr>
      <w:rFonts w:ascii="Minion Pro" w:hAnsi="Minion Pro" w:cs="Minion Pro"/>
      <w:color w:val="000000"/>
      <w:sz w:val="24"/>
      <w:szCs w:val="24"/>
      <w:lang w:val="en-GB" w:eastAsia="en-GB"/>
    </w:rPr>
  </w:style>
  <w:style w:type="paragraph" w:customStyle="1" w:styleId="TableContents">
    <w:name w:val="Table Contents"/>
    <w:basedOn w:val="Normal"/>
    <w:qFormat/>
    <w:rsid w:val="0051622A"/>
    <w:pPr>
      <w:suppressLineNumbers/>
      <w:suppressAutoHyphens/>
      <w:spacing w:before="120" w:after="120"/>
    </w:pPr>
    <w:rPr>
      <w:rFonts w:ascii="Arial" w:hAnsi="Arial"/>
      <w:snapToGrid/>
      <w:sz w:val="20"/>
      <w:lang w:val="en-GB"/>
    </w:rPr>
  </w:style>
  <w:style w:type="character" w:styleId="zmlenmeyenBahsetme">
    <w:name w:val="Unresolved Mention"/>
    <w:uiPriority w:val="99"/>
    <w:semiHidden/>
    <w:unhideWhenUsed/>
    <w:rsid w:val="006A77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budget/graphs/inforeuro.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5D33F-2919-4270-84A5-2127D23D6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8</Pages>
  <Words>2070</Words>
  <Characters>11805</Characters>
  <Application>Microsoft Office Word</Application>
  <DocSecurity>0</DocSecurity>
  <Lines>98</Lines>
  <Paragraphs>27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13848</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senolfiliz@gmail.com</cp:lastModifiedBy>
  <cp:revision>32</cp:revision>
  <cp:lastPrinted>2024-06-14T12:45:00Z</cp:lastPrinted>
  <dcterms:created xsi:type="dcterms:W3CDTF">2024-06-17T14:03:00Z</dcterms:created>
  <dcterms:modified xsi:type="dcterms:W3CDTF">2025-12-08T11:13:00Z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2023-04-04T08:24:05Z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e2b06f07-c8cb-47fd-ac19-36a976675b57</vt:lpwstr>
  </property>
  <property fmtid="{D5CDD505-2E9C-101B-9397-08002B2CF9AE}" pid="10" name="MSIP_Label_6bd9ddd1-4d20-43f6-abfa-fc3c07406f94_ContentBits">
    <vt:lpwstr>0</vt:lpwstr>
  </property>
</Properties>
</file>